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BE958" w14:textId="043CA10A" w:rsidR="009A2A48" w:rsidRPr="00877D1A" w:rsidRDefault="009A2A48" w:rsidP="009A2A48">
      <w:pPr>
        <w:pStyle w:val="Ttulo1"/>
        <w:spacing w:before="600" w:after="240"/>
        <w:ind w:left="3969"/>
      </w:pPr>
      <w:r w:rsidRPr="00877D1A">
        <w:t xml:space="preserve">CONTROVERSIA CONSTITUCIONAL </w:t>
      </w:r>
      <w:r w:rsidR="004A2041" w:rsidRPr="00877D1A">
        <w:t>171/2021</w:t>
      </w:r>
    </w:p>
    <w:p w14:paraId="39B3C43D" w14:textId="72713635" w:rsidR="009A2A48" w:rsidRPr="00877D1A" w:rsidRDefault="00B42C3C" w:rsidP="009A2A48">
      <w:pPr>
        <w:pStyle w:val="Ttulo1"/>
        <w:spacing w:before="240" w:after="240"/>
        <w:ind w:left="3969"/>
      </w:pPr>
      <w:r w:rsidRPr="00877D1A">
        <w:t>PROMOVENTE</w:t>
      </w:r>
      <w:r w:rsidR="00411EEC" w:rsidRPr="00877D1A">
        <w:t xml:space="preserve">: </w:t>
      </w:r>
      <w:r w:rsidR="004A2041" w:rsidRPr="00877D1A">
        <w:t>PODER LEGISLATIVO DEL ESTADO DE NAYARIT</w:t>
      </w:r>
      <w:r w:rsidR="009A2A48" w:rsidRPr="00877D1A">
        <w:t xml:space="preserve"> </w:t>
      </w:r>
    </w:p>
    <w:p w14:paraId="407C27F6" w14:textId="3851B5C1" w:rsidR="009A2A48" w:rsidRPr="00877D1A" w:rsidRDefault="008808A4" w:rsidP="009A2A48">
      <w:pPr>
        <w:pStyle w:val="Ttulo1"/>
        <w:spacing w:before="240" w:after="240"/>
        <w:ind w:left="3969"/>
      </w:pPr>
      <w:r w:rsidRPr="00877D1A">
        <w:t>DEMANDADO</w:t>
      </w:r>
      <w:r w:rsidR="003866FE" w:rsidRPr="00877D1A">
        <w:t xml:space="preserve">: </w:t>
      </w:r>
      <w:r w:rsidR="000B4F18" w:rsidRPr="00877D1A">
        <w:t>TRIBUNAL ESTATAL ELECTORAL DE NAYARIT</w:t>
      </w:r>
    </w:p>
    <w:p w14:paraId="7615CD00" w14:textId="57293AA5" w:rsidR="00F15FD9" w:rsidRDefault="00F15FD9" w:rsidP="00F15FD9">
      <w:pPr>
        <w:spacing w:before="0"/>
        <w:rPr>
          <w:b/>
          <w:sz w:val="26"/>
          <w:szCs w:val="26"/>
        </w:rPr>
      </w:pPr>
      <w:r w:rsidRPr="00300C99">
        <w:rPr>
          <w:b/>
          <w:sz w:val="26"/>
          <w:szCs w:val="26"/>
        </w:rPr>
        <w:t xml:space="preserve">PONENTE: </w:t>
      </w:r>
      <w:r w:rsidR="004A2041">
        <w:rPr>
          <w:b/>
          <w:sz w:val="26"/>
          <w:szCs w:val="26"/>
        </w:rPr>
        <w:t>MINISTRO JAVIER LAYNEZ POTISEK</w:t>
      </w:r>
    </w:p>
    <w:p w14:paraId="63BBBA4F" w14:textId="67412313" w:rsidR="00257714" w:rsidRPr="00257714" w:rsidRDefault="00257714" w:rsidP="00257714">
      <w:pPr>
        <w:pStyle w:val="Sinespaciado"/>
      </w:pPr>
      <w:r w:rsidRPr="0059627C">
        <w:t>COTEJÓ</w:t>
      </w:r>
    </w:p>
    <w:p w14:paraId="3D666187" w14:textId="01CD8841" w:rsidR="00F15FD9" w:rsidRPr="00404187" w:rsidRDefault="00404187" w:rsidP="00404187">
      <w:pPr>
        <w:pStyle w:val="corte2ponente"/>
        <w:rPr>
          <w:rFonts w:ascii="Arial" w:hAnsi="Arial" w:cs="Arial"/>
          <w:sz w:val="26"/>
          <w:szCs w:val="26"/>
        </w:rPr>
      </w:pPr>
      <w:r w:rsidRPr="00F96666">
        <w:rPr>
          <w:rFonts w:ascii="Arial" w:hAnsi="Arial" w:cs="Arial"/>
          <w:sz w:val="26"/>
          <w:szCs w:val="26"/>
        </w:rPr>
        <w:t>SECRETARIo: ALFREDO NARVÁEZ MEDÉCIGO</w:t>
      </w:r>
    </w:p>
    <w:p w14:paraId="1BA1C445" w14:textId="1A4C7267" w:rsidR="00404187" w:rsidRPr="00300C99" w:rsidRDefault="00F15FD9" w:rsidP="00F15FD9">
      <w:pPr>
        <w:spacing w:before="0" w:after="0"/>
        <w:rPr>
          <w:b/>
          <w:sz w:val="26"/>
          <w:szCs w:val="26"/>
        </w:rPr>
      </w:pPr>
      <w:r w:rsidRPr="00300C99">
        <w:rPr>
          <w:b/>
          <w:sz w:val="26"/>
          <w:szCs w:val="26"/>
        </w:rPr>
        <w:t xml:space="preserve">COLABORÓ: </w:t>
      </w:r>
      <w:r w:rsidR="00404187" w:rsidRPr="00404187">
        <w:rPr>
          <w:b/>
          <w:bCs/>
          <w:sz w:val="26"/>
          <w:szCs w:val="26"/>
        </w:rPr>
        <w:t>RAFAEL DE LEÓN DEL ÁNGEL</w:t>
      </w:r>
    </w:p>
    <w:p w14:paraId="05A94521" w14:textId="77777777" w:rsidR="00F15FD9" w:rsidRPr="00300C99" w:rsidRDefault="00F15FD9" w:rsidP="00F15FD9">
      <w:pPr>
        <w:spacing w:before="0" w:after="0"/>
        <w:rPr>
          <w:sz w:val="26"/>
          <w:szCs w:val="26"/>
        </w:rPr>
      </w:pPr>
    </w:p>
    <w:p w14:paraId="49CDA36F" w14:textId="77777777" w:rsidR="00F15FD9" w:rsidRDefault="00F15FD9" w:rsidP="00F15FD9">
      <w:pPr>
        <w:spacing w:before="0" w:after="0"/>
        <w:jc w:val="center"/>
        <w:rPr>
          <w:b/>
          <w:bCs/>
          <w:sz w:val="26"/>
          <w:szCs w:val="26"/>
        </w:rPr>
      </w:pPr>
      <w:r w:rsidRPr="00300C99">
        <w:rPr>
          <w:b/>
          <w:bCs/>
          <w:sz w:val="26"/>
          <w:szCs w:val="26"/>
        </w:rPr>
        <w:t>ÍNDICE</w:t>
      </w:r>
      <w:r w:rsidR="00300C99">
        <w:rPr>
          <w:b/>
          <w:bCs/>
          <w:sz w:val="26"/>
          <w:szCs w:val="26"/>
        </w:rPr>
        <w:t xml:space="preserve"> TEMÁTICO</w:t>
      </w:r>
    </w:p>
    <w:p w14:paraId="7103A5C0" w14:textId="77777777" w:rsidR="00F851B2" w:rsidRDefault="00F851B2" w:rsidP="00F15FD9">
      <w:pPr>
        <w:spacing w:before="0" w:after="0"/>
        <w:jc w:val="center"/>
        <w:rPr>
          <w:b/>
          <w:bCs/>
          <w:sz w:val="26"/>
          <w:szCs w:val="26"/>
        </w:rPr>
      </w:pPr>
    </w:p>
    <w:p w14:paraId="5A917C18" w14:textId="24350F66" w:rsidR="001D7D87" w:rsidRPr="00F851B2" w:rsidRDefault="00257714" w:rsidP="001D7D87">
      <w:pPr>
        <w:spacing w:before="0" w:after="0"/>
        <w:rPr>
          <w:b/>
          <w:bCs/>
          <w:sz w:val="26"/>
          <w:szCs w:val="26"/>
        </w:rPr>
      </w:pPr>
      <w:r>
        <w:rPr>
          <w:b/>
          <w:bCs/>
          <w:sz w:val="26"/>
          <w:szCs w:val="26"/>
        </w:rPr>
        <w:t xml:space="preserve">Se impugna una resolución </w:t>
      </w:r>
      <w:r w:rsidR="00E83594">
        <w:rPr>
          <w:b/>
          <w:bCs/>
          <w:sz w:val="26"/>
          <w:szCs w:val="26"/>
        </w:rPr>
        <w:t xml:space="preserve">que ya fue revocada por un órgano jurisdiccional especializado </w:t>
      </w:r>
      <w:r>
        <w:rPr>
          <w:b/>
          <w:bCs/>
          <w:sz w:val="26"/>
          <w:szCs w:val="26"/>
        </w:rPr>
        <w:t>en materia electoral</w:t>
      </w:r>
      <w:r w:rsidR="001D7D87" w:rsidRPr="001D7D87">
        <w:rPr>
          <w:b/>
          <w:bCs/>
          <w:sz w:val="26"/>
          <w:szCs w:val="26"/>
        </w:rPr>
        <w:t>.</w:t>
      </w:r>
    </w:p>
    <w:p w14:paraId="301C307F" w14:textId="77777777" w:rsidR="00F15FD9" w:rsidRPr="00300C99" w:rsidRDefault="00F15FD9" w:rsidP="00F15FD9">
      <w:pPr>
        <w:spacing w:before="0" w:after="0"/>
        <w:jc w:val="center"/>
        <w:rPr>
          <w:b/>
          <w:bCs/>
        </w:rPr>
      </w:pPr>
    </w:p>
    <w:tbl>
      <w:tblPr>
        <w:tblStyle w:val="Tablaconcuadrcula"/>
        <w:tblW w:w="9298" w:type="dxa"/>
        <w:jc w:val="center"/>
        <w:tblLook w:val="04A0" w:firstRow="1" w:lastRow="0" w:firstColumn="1" w:lastColumn="0" w:noHBand="0" w:noVBand="1"/>
      </w:tblPr>
      <w:tblGrid>
        <w:gridCol w:w="679"/>
        <w:gridCol w:w="4055"/>
        <w:gridCol w:w="3625"/>
        <w:gridCol w:w="939"/>
      </w:tblGrid>
      <w:tr w:rsidR="009F35E1" w:rsidRPr="0084287A" w14:paraId="5EF82F85" w14:textId="77777777" w:rsidTr="009F35E1">
        <w:trPr>
          <w:trHeight w:val="641"/>
          <w:jc w:val="center"/>
        </w:trPr>
        <w:tc>
          <w:tcPr>
            <w:tcW w:w="679" w:type="dxa"/>
            <w:shd w:val="clear" w:color="auto" w:fill="D9D9D9" w:themeFill="background1" w:themeFillShade="D9"/>
            <w:vAlign w:val="center"/>
          </w:tcPr>
          <w:p w14:paraId="447D56FF" w14:textId="77777777" w:rsidR="00F15FD9" w:rsidRPr="0084287A" w:rsidRDefault="00F15FD9" w:rsidP="003F4CAB">
            <w:pPr>
              <w:jc w:val="center"/>
              <w:rPr>
                <w:b/>
                <w:bCs/>
              </w:rPr>
            </w:pPr>
          </w:p>
        </w:tc>
        <w:tc>
          <w:tcPr>
            <w:tcW w:w="4055" w:type="dxa"/>
            <w:shd w:val="clear" w:color="auto" w:fill="D9D9D9" w:themeFill="background1" w:themeFillShade="D9"/>
            <w:vAlign w:val="center"/>
          </w:tcPr>
          <w:p w14:paraId="177F4CD5" w14:textId="77777777" w:rsidR="00F15FD9" w:rsidRPr="0084287A" w:rsidRDefault="00F15FD9" w:rsidP="003F4CAB">
            <w:pPr>
              <w:jc w:val="center"/>
              <w:rPr>
                <w:b/>
              </w:rPr>
            </w:pPr>
            <w:r w:rsidRPr="0084287A">
              <w:rPr>
                <w:b/>
              </w:rPr>
              <w:t>Apartado</w:t>
            </w:r>
          </w:p>
        </w:tc>
        <w:tc>
          <w:tcPr>
            <w:tcW w:w="3625" w:type="dxa"/>
            <w:shd w:val="clear" w:color="auto" w:fill="D9D9D9" w:themeFill="background1" w:themeFillShade="D9"/>
            <w:vAlign w:val="center"/>
          </w:tcPr>
          <w:p w14:paraId="09B332D7" w14:textId="77777777" w:rsidR="00F15FD9" w:rsidRPr="0084287A" w:rsidRDefault="00FB73D9" w:rsidP="003F4CAB">
            <w:pPr>
              <w:jc w:val="center"/>
              <w:rPr>
                <w:b/>
              </w:rPr>
            </w:pPr>
            <w:r w:rsidRPr="0084287A">
              <w:rPr>
                <w:b/>
              </w:rPr>
              <w:t>Decisión</w:t>
            </w:r>
          </w:p>
        </w:tc>
        <w:tc>
          <w:tcPr>
            <w:tcW w:w="939" w:type="dxa"/>
            <w:shd w:val="clear" w:color="auto" w:fill="D9D9D9" w:themeFill="background1" w:themeFillShade="D9"/>
            <w:vAlign w:val="center"/>
          </w:tcPr>
          <w:p w14:paraId="3AB22312" w14:textId="77777777" w:rsidR="00F15FD9" w:rsidRPr="0084287A" w:rsidRDefault="00F15FD9" w:rsidP="003F4CAB">
            <w:pPr>
              <w:jc w:val="center"/>
              <w:rPr>
                <w:b/>
              </w:rPr>
            </w:pPr>
            <w:r w:rsidRPr="0084287A">
              <w:rPr>
                <w:b/>
              </w:rPr>
              <w:t>Pág</w:t>
            </w:r>
            <w:r w:rsidR="009018E3" w:rsidRPr="0084287A">
              <w:rPr>
                <w:b/>
              </w:rPr>
              <w:t>s.</w:t>
            </w:r>
          </w:p>
        </w:tc>
      </w:tr>
      <w:tr w:rsidR="009F35E1" w:rsidRPr="0084287A" w14:paraId="15C04F9A" w14:textId="77777777" w:rsidTr="00A755E1">
        <w:trPr>
          <w:trHeight w:val="569"/>
          <w:jc w:val="center"/>
        </w:trPr>
        <w:tc>
          <w:tcPr>
            <w:tcW w:w="679" w:type="dxa"/>
            <w:vAlign w:val="center"/>
          </w:tcPr>
          <w:p w14:paraId="7243F42E" w14:textId="5622C54C" w:rsidR="00F15FD9" w:rsidRPr="0084287A" w:rsidRDefault="001E555F" w:rsidP="003F4CAB">
            <w:pPr>
              <w:jc w:val="center"/>
              <w:rPr>
                <w:b/>
                <w:bCs/>
              </w:rPr>
            </w:pPr>
            <w:r>
              <w:rPr>
                <w:b/>
                <w:bCs/>
              </w:rPr>
              <w:t>I</w:t>
            </w:r>
            <w:r w:rsidR="00F15FD9" w:rsidRPr="0084287A">
              <w:rPr>
                <w:b/>
                <w:bCs/>
              </w:rPr>
              <w:t>.</w:t>
            </w:r>
          </w:p>
        </w:tc>
        <w:tc>
          <w:tcPr>
            <w:tcW w:w="4055" w:type="dxa"/>
            <w:vAlign w:val="center"/>
          </w:tcPr>
          <w:p w14:paraId="33FB7402" w14:textId="77777777" w:rsidR="00F15FD9" w:rsidRPr="00A755E1" w:rsidRDefault="00F15FD9" w:rsidP="003F4CAB">
            <w:pPr>
              <w:spacing w:before="0" w:after="0"/>
              <w:rPr>
                <w:b/>
                <w:bCs/>
              </w:rPr>
            </w:pPr>
            <w:r w:rsidRPr="00A755E1">
              <w:rPr>
                <w:b/>
                <w:bCs/>
              </w:rPr>
              <w:t>COMPETENCIA</w:t>
            </w:r>
          </w:p>
        </w:tc>
        <w:tc>
          <w:tcPr>
            <w:tcW w:w="3625" w:type="dxa"/>
          </w:tcPr>
          <w:p w14:paraId="509E4EC3" w14:textId="7AA15104" w:rsidR="00F15FD9" w:rsidRPr="0084287A" w:rsidRDefault="004A2041" w:rsidP="003F4CAB">
            <w:r>
              <w:t>La Segunda Sala</w:t>
            </w:r>
            <w:r w:rsidR="00945F2F" w:rsidRPr="0084287A">
              <w:t xml:space="preserve"> es competente para conocer del presente asunto.</w:t>
            </w:r>
          </w:p>
        </w:tc>
        <w:tc>
          <w:tcPr>
            <w:tcW w:w="939" w:type="dxa"/>
          </w:tcPr>
          <w:p w14:paraId="6440671A" w14:textId="2BBB83B1" w:rsidR="00F15FD9" w:rsidRPr="0084287A" w:rsidRDefault="008C41EE" w:rsidP="003F4CAB">
            <w:pPr>
              <w:jc w:val="center"/>
            </w:pPr>
            <w:r>
              <w:t>5</w:t>
            </w:r>
          </w:p>
        </w:tc>
      </w:tr>
      <w:tr w:rsidR="009F35E1" w:rsidRPr="0084287A" w14:paraId="3CDCDDFF" w14:textId="77777777" w:rsidTr="00A755E1">
        <w:trPr>
          <w:trHeight w:val="882"/>
          <w:jc w:val="center"/>
        </w:trPr>
        <w:tc>
          <w:tcPr>
            <w:tcW w:w="679" w:type="dxa"/>
            <w:vAlign w:val="center"/>
          </w:tcPr>
          <w:p w14:paraId="0DBA83CA" w14:textId="0EF7DA5E" w:rsidR="00F15FD9" w:rsidRPr="0084287A" w:rsidRDefault="00F15FD9" w:rsidP="003F4CAB">
            <w:pPr>
              <w:jc w:val="center"/>
              <w:rPr>
                <w:b/>
                <w:bCs/>
              </w:rPr>
            </w:pPr>
            <w:r w:rsidRPr="0084287A">
              <w:rPr>
                <w:b/>
                <w:bCs/>
              </w:rPr>
              <w:t>I</w:t>
            </w:r>
            <w:r w:rsidR="001E555F">
              <w:rPr>
                <w:b/>
                <w:bCs/>
              </w:rPr>
              <w:t>I</w:t>
            </w:r>
            <w:r w:rsidRPr="0084287A">
              <w:rPr>
                <w:b/>
                <w:bCs/>
              </w:rPr>
              <w:t>.</w:t>
            </w:r>
          </w:p>
        </w:tc>
        <w:tc>
          <w:tcPr>
            <w:tcW w:w="4055" w:type="dxa"/>
            <w:vAlign w:val="center"/>
          </w:tcPr>
          <w:p w14:paraId="475EA2BE" w14:textId="0F798403" w:rsidR="00F15FD9" w:rsidRPr="00A755E1" w:rsidRDefault="00F15FD9" w:rsidP="003F4CAB">
            <w:pPr>
              <w:rPr>
                <w:b/>
                <w:bCs/>
              </w:rPr>
            </w:pPr>
            <w:r w:rsidRPr="00A755E1">
              <w:rPr>
                <w:b/>
                <w:bCs/>
              </w:rPr>
              <w:t xml:space="preserve">PRECISIÓN DE </w:t>
            </w:r>
            <w:r w:rsidR="003471F9">
              <w:rPr>
                <w:b/>
                <w:bCs/>
              </w:rPr>
              <w:t>LOS ACTOS</w:t>
            </w:r>
            <w:r w:rsidRPr="00A755E1">
              <w:rPr>
                <w:b/>
                <w:bCs/>
              </w:rPr>
              <w:t xml:space="preserve"> RECLAMAD</w:t>
            </w:r>
            <w:r w:rsidR="003471F9">
              <w:rPr>
                <w:b/>
                <w:bCs/>
              </w:rPr>
              <w:t>O</w:t>
            </w:r>
            <w:r w:rsidRPr="00A755E1">
              <w:rPr>
                <w:b/>
                <w:bCs/>
              </w:rPr>
              <w:t>S</w:t>
            </w:r>
          </w:p>
        </w:tc>
        <w:tc>
          <w:tcPr>
            <w:tcW w:w="3625" w:type="dxa"/>
          </w:tcPr>
          <w:p w14:paraId="14961C02" w14:textId="66573E91" w:rsidR="00F15FD9" w:rsidRPr="0084287A" w:rsidRDefault="00945F2F" w:rsidP="003F4CAB">
            <w:r w:rsidRPr="0084287A">
              <w:t>Se tiene por impugnad</w:t>
            </w:r>
            <w:r w:rsidR="003E6A85">
              <w:t xml:space="preserve">a </w:t>
            </w:r>
            <w:r w:rsidR="003E6A85" w:rsidRPr="00B50CA8">
              <w:rPr>
                <w:bCs/>
              </w:rPr>
              <w:t xml:space="preserve">la resolución dictada el veintiuno de octubre de dos mil veintiuno en el </w:t>
            </w:r>
            <w:r w:rsidR="003E6A85" w:rsidRPr="00B50CA8">
              <w:t>juicio para la protección de los derechos político-electorales del ciudadano nayarita TEE-JDCN-106/2021</w:t>
            </w:r>
            <w:r w:rsidR="003E6A85">
              <w:t xml:space="preserve"> y </w:t>
            </w:r>
            <w:r w:rsidR="003E6A85" w:rsidRPr="00B50CA8">
              <w:rPr>
                <w:bCs/>
              </w:rPr>
              <w:t>su ejecución</w:t>
            </w:r>
            <w:r w:rsidR="003E6A85">
              <w:rPr>
                <w:bCs/>
              </w:rPr>
              <w:t xml:space="preserve">. </w:t>
            </w:r>
          </w:p>
        </w:tc>
        <w:tc>
          <w:tcPr>
            <w:tcW w:w="939" w:type="dxa"/>
          </w:tcPr>
          <w:p w14:paraId="5DBD290E" w14:textId="53B7E023" w:rsidR="00F15FD9" w:rsidRPr="0084287A" w:rsidRDefault="008C41EE" w:rsidP="003F4CAB">
            <w:pPr>
              <w:jc w:val="center"/>
            </w:pPr>
            <w:r>
              <w:t>6</w:t>
            </w:r>
          </w:p>
        </w:tc>
      </w:tr>
      <w:tr w:rsidR="003C78BF" w:rsidRPr="0084287A" w14:paraId="270DF162" w14:textId="77777777" w:rsidTr="00A755E1">
        <w:trPr>
          <w:trHeight w:val="555"/>
          <w:jc w:val="center"/>
        </w:trPr>
        <w:tc>
          <w:tcPr>
            <w:tcW w:w="679" w:type="dxa"/>
            <w:vAlign w:val="center"/>
          </w:tcPr>
          <w:p w14:paraId="036AF751" w14:textId="537CEC16" w:rsidR="003C78BF" w:rsidRDefault="00623A54" w:rsidP="003F4CAB">
            <w:pPr>
              <w:jc w:val="center"/>
              <w:rPr>
                <w:b/>
                <w:bCs/>
              </w:rPr>
            </w:pPr>
            <w:r>
              <w:rPr>
                <w:b/>
                <w:bCs/>
              </w:rPr>
              <w:t>I</w:t>
            </w:r>
            <w:r w:rsidR="001E555F">
              <w:rPr>
                <w:b/>
                <w:bCs/>
              </w:rPr>
              <w:t>II</w:t>
            </w:r>
            <w:r w:rsidR="003C78BF" w:rsidRPr="0084287A">
              <w:rPr>
                <w:b/>
                <w:bCs/>
              </w:rPr>
              <w:t>.</w:t>
            </w:r>
          </w:p>
        </w:tc>
        <w:tc>
          <w:tcPr>
            <w:tcW w:w="4055" w:type="dxa"/>
            <w:vAlign w:val="center"/>
          </w:tcPr>
          <w:p w14:paraId="4233FA00" w14:textId="1F4C42A7" w:rsidR="003C78BF" w:rsidRPr="0095050E" w:rsidRDefault="003C78BF" w:rsidP="0095050E">
            <w:pPr>
              <w:pStyle w:val="Ttulo3"/>
              <w:numPr>
                <w:ilvl w:val="0"/>
                <w:numId w:val="0"/>
              </w:numPr>
              <w:spacing w:before="0" w:after="0" w:line="276" w:lineRule="auto"/>
              <w:ind w:left="63"/>
              <w:jc w:val="both"/>
              <w:outlineLvl w:val="2"/>
              <w:rPr>
                <w:bCs/>
                <w:sz w:val="24"/>
                <w:szCs w:val="24"/>
              </w:rPr>
            </w:pPr>
            <w:r w:rsidRPr="00A755E1">
              <w:rPr>
                <w:bCs/>
                <w:sz w:val="24"/>
                <w:szCs w:val="24"/>
              </w:rPr>
              <w:t>CAUSA DE IMPROCEDENCIA</w:t>
            </w:r>
          </w:p>
        </w:tc>
        <w:tc>
          <w:tcPr>
            <w:tcW w:w="3625" w:type="dxa"/>
          </w:tcPr>
          <w:p w14:paraId="5F0AA3D2" w14:textId="77E0B178" w:rsidR="003C78BF" w:rsidRPr="0084287A" w:rsidRDefault="0095050E" w:rsidP="003F4CAB">
            <w:r>
              <w:t>Se actualiza la causa de improcedencia relativa a la cesación de efectos del acto reclamado</w:t>
            </w:r>
          </w:p>
        </w:tc>
        <w:tc>
          <w:tcPr>
            <w:tcW w:w="939" w:type="dxa"/>
          </w:tcPr>
          <w:p w14:paraId="363B969E" w14:textId="244D1AC4" w:rsidR="003C78BF" w:rsidRPr="0084287A" w:rsidRDefault="00305F02" w:rsidP="001E555F">
            <w:r>
              <w:t xml:space="preserve">  </w:t>
            </w:r>
            <w:r w:rsidR="003471F9">
              <w:t xml:space="preserve">6 a </w:t>
            </w:r>
            <w:r w:rsidR="008C41EE">
              <w:t>8</w:t>
            </w:r>
          </w:p>
        </w:tc>
      </w:tr>
      <w:tr w:rsidR="003C78BF" w:rsidRPr="0084287A" w14:paraId="28DE15E4" w14:textId="77777777" w:rsidTr="00A755E1">
        <w:trPr>
          <w:trHeight w:val="882"/>
          <w:jc w:val="center"/>
        </w:trPr>
        <w:tc>
          <w:tcPr>
            <w:tcW w:w="679" w:type="dxa"/>
            <w:vAlign w:val="center"/>
          </w:tcPr>
          <w:p w14:paraId="7C43E9FE" w14:textId="7A79E340" w:rsidR="003C78BF" w:rsidRPr="0084287A" w:rsidRDefault="001E555F" w:rsidP="003F4CAB">
            <w:pPr>
              <w:jc w:val="center"/>
              <w:rPr>
                <w:b/>
                <w:bCs/>
              </w:rPr>
            </w:pPr>
            <w:r>
              <w:rPr>
                <w:b/>
                <w:bCs/>
              </w:rPr>
              <w:t>IV.</w:t>
            </w:r>
          </w:p>
        </w:tc>
        <w:tc>
          <w:tcPr>
            <w:tcW w:w="4055" w:type="dxa"/>
            <w:vAlign w:val="center"/>
          </w:tcPr>
          <w:p w14:paraId="5474A597" w14:textId="219C74FE" w:rsidR="003C78BF" w:rsidRPr="001E555F" w:rsidRDefault="001E555F" w:rsidP="001E555F">
            <w:pPr>
              <w:pStyle w:val="Prrafo"/>
              <w:numPr>
                <w:ilvl w:val="0"/>
                <w:numId w:val="2"/>
              </w:numPr>
              <w:spacing w:before="0" w:after="360" w:line="276" w:lineRule="auto"/>
              <w:ind w:left="0" w:hanging="567"/>
              <w:rPr>
                <w:b/>
                <w:bCs/>
                <w:sz w:val="24"/>
                <w:szCs w:val="24"/>
              </w:rPr>
            </w:pPr>
            <w:r>
              <w:rPr>
                <w:b/>
                <w:bCs/>
                <w:sz w:val="24"/>
                <w:szCs w:val="24"/>
              </w:rPr>
              <w:br/>
            </w:r>
            <w:r w:rsidR="003C78BF" w:rsidRPr="001E555F">
              <w:rPr>
                <w:b/>
                <w:bCs/>
                <w:sz w:val="24"/>
                <w:szCs w:val="24"/>
              </w:rPr>
              <w:t>DECISIÓN</w:t>
            </w:r>
          </w:p>
        </w:tc>
        <w:tc>
          <w:tcPr>
            <w:tcW w:w="3625" w:type="dxa"/>
          </w:tcPr>
          <w:p w14:paraId="1A01767D" w14:textId="16E57BFB" w:rsidR="003C78BF" w:rsidRPr="00FA36E3" w:rsidRDefault="00FA36E3" w:rsidP="003F4CAB">
            <w:r w:rsidRPr="00FA36E3">
              <w:t xml:space="preserve">Se sobresee </w:t>
            </w:r>
            <w:r w:rsidR="00877D1A">
              <w:t xml:space="preserve">en </w:t>
            </w:r>
            <w:r w:rsidRPr="00FA36E3">
              <w:t>la controversia constitucional.</w:t>
            </w:r>
          </w:p>
        </w:tc>
        <w:tc>
          <w:tcPr>
            <w:tcW w:w="939" w:type="dxa"/>
          </w:tcPr>
          <w:p w14:paraId="452B4AB7" w14:textId="5D992010" w:rsidR="003C78BF" w:rsidRPr="0084287A" w:rsidRDefault="003471F9" w:rsidP="003F4CAB">
            <w:pPr>
              <w:jc w:val="center"/>
            </w:pPr>
            <w:r>
              <w:t>8</w:t>
            </w:r>
          </w:p>
        </w:tc>
      </w:tr>
    </w:tbl>
    <w:p w14:paraId="278AFE28" w14:textId="77777777" w:rsidR="00A755E1" w:rsidRDefault="00A755E1">
      <w:pPr>
        <w:spacing w:before="0" w:after="160" w:line="259" w:lineRule="auto"/>
        <w:jc w:val="left"/>
        <w:sectPr w:rsidR="00A755E1" w:rsidSect="00C3648B">
          <w:headerReference w:type="default" r:id="rId14"/>
          <w:footerReference w:type="default" r:id="rId15"/>
          <w:pgSz w:w="12242" w:h="19442" w:code="10005"/>
          <w:pgMar w:top="2268" w:right="1469" w:bottom="1701" w:left="1701" w:header="1134" w:footer="1723" w:gutter="0"/>
          <w:pgNumType w:start="1"/>
          <w:cols w:space="708"/>
          <w:titlePg/>
          <w:docGrid w:linePitch="360"/>
        </w:sectPr>
      </w:pPr>
    </w:p>
    <w:p w14:paraId="1A450366" w14:textId="77777777" w:rsidR="00F15FD9" w:rsidRDefault="00F15FD9">
      <w:pPr>
        <w:spacing w:before="0" w:after="160" w:line="259" w:lineRule="auto"/>
        <w:jc w:val="left"/>
      </w:pPr>
    </w:p>
    <w:p w14:paraId="64A022BD" w14:textId="07E81D7C" w:rsidR="009A2A48" w:rsidRPr="00877D1A" w:rsidRDefault="009A2A48" w:rsidP="009A2A48">
      <w:pPr>
        <w:pStyle w:val="Ttulo1"/>
        <w:spacing w:before="600" w:after="240"/>
        <w:ind w:left="3969"/>
      </w:pPr>
      <w:r w:rsidRPr="00877D1A">
        <w:t xml:space="preserve">CONTROVERSIA CONSTITUCIONAL </w:t>
      </w:r>
      <w:r w:rsidR="004A2041" w:rsidRPr="00877D1A">
        <w:t>171/2021</w:t>
      </w:r>
    </w:p>
    <w:p w14:paraId="6E619FD3" w14:textId="3A8148EF" w:rsidR="009A2A48" w:rsidRPr="00877D1A" w:rsidRDefault="0010458F" w:rsidP="009A2A48">
      <w:pPr>
        <w:pStyle w:val="Ttulo1"/>
        <w:spacing w:before="240" w:after="240"/>
        <w:ind w:left="3969"/>
      </w:pPr>
      <w:r w:rsidRPr="00877D1A">
        <w:t xml:space="preserve">ACTOR: </w:t>
      </w:r>
      <w:r w:rsidR="004A2041" w:rsidRPr="00877D1A">
        <w:t>PODER LEGISLATIVO DEL ESTADO DE NAYARIT</w:t>
      </w:r>
      <w:r w:rsidR="009A2A48" w:rsidRPr="00877D1A">
        <w:t xml:space="preserve"> </w:t>
      </w:r>
    </w:p>
    <w:p w14:paraId="323D4276" w14:textId="74CE3BF7" w:rsidR="009A2A48" w:rsidRPr="00877D1A" w:rsidRDefault="008808A4" w:rsidP="009A2A48">
      <w:pPr>
        <w:pStyle w:val="Ttulo1"/>
        <w:spacing w:before="240" w:after="240"/>
        <w:ind w:left="3969"/>
      </w:pPr>
      <w:r w:rsidRPr="00877D1A">
        <w:t>DEMANDADO</w:t>
      </w:r>
      <w:r w:rsidR="003866FE" w:rsidRPr="00877D1A">
        <w:t xml:space="preserve">: </w:t>
      </w:r>
      <w:r w:rsidR="000B4F18" w:rsidRPr="00877D1A">
        <w:t>TRIBUNAL ESTATAL ELECTORAL DE NAYARIT</w:t>
      </w:r>
    </w:p>
    <w:p w14:paraId="732B766A" w14:textId="77777777" w:rsidR="00F15FD9" w:rsidRPr="00300C99" w:rsidRDefault="00F15FD9" w:rsidP="00F15FD9">
      <w:pPr>
        <w:pStyle w:val="Sinespaciado"/>
        <w:tabs>
          <w:tab w:val="left" w:pos="7227"/>
        </w:tabs>
        <w:spacing w:before="240"/>
      </w:pPr>
      <w:r w:rsidRPr="00300C99">
        <w:t>VISTO BUENO</w:t>
      </w:r>
    </w:p>
    <w:p w14:paraId="656AC0A2" w14:textId="6CFF4166" w:rsidR="00F15FD9" w:rsidRPr="00300C99" w:rsidRDefault="00F15FD9" w:rsidP="00F15FD9">
      <w:pPr>
        <w:pStyle w:val="Sinespaciado"/>
        <w:tabs>
          <w:tab w:val="left" w:pos="7309"/>
        </w:tabs>
      </w:pPr>
      <w:r w:rsidRPr="00300C99">
        <w:t>SR. MINISTRO</w:t>
      </w:r>
    </w:p>
    <w:p w14:paraId="4B6CF811" w14:textId="28D272E4" w:rsidR="00F15FD9" w:rsidRPr="00300C99" w:rsidRDefault="007430C4" w:rsidP="00F15FD9">
      <w:pPr>
        <w:spacing w:before="0"/>
        <w:rPr>
          <w:b/>
          <w:sz w:val="26"/>
          <w:szCs w:val="26"/>
        </w:rPr>
      </w:pPr>
      <w:r>
        <w:rPr>
          <w:b/>
          <w:sz w:val="26"/>
          <w:szCs w:val="26"/>
        </w:rPr>
        <w:t>MINISTRO</w:t>
      </w:r>
      <w:r w:rsidRPr="00300C99">
        <w:rPr>
          <w:b/>
          <w:sz w:val="26"/>
          <w:szCs w:val="26"/>
        </w:rPr>
        <w:t xml:space="preserve"> </w:t>
      </w:r>
      <w:r w:rsidR="00F15FD9" w:rsidRPr="00300C99">
        <w:rPr>
          <w:b/>
          <w:sz w:val="26"/>
          <w:szCs w:val="26"/>
        </w:rPr>
        <w:t xml:space="preserve">PONENTE: </w:t>
      </w:r>
      <w:r w:rsidR="004A2041">
        <w:rPr>
          <w:b/>
          <w:sz w:val="26"/>
          <w:szCs w:val="26"/>
        </w:rPr>
        <w:t>JAVIER LAYNEZ POTISEK</w:t>
      </w:r>
    </w:p>
    <w:p w14:paraId="2E758FA0" w14:textId="77777777" w:rsidR="00F15FD9" w:rsidRPr="00300C99" w:rsidRDefault="00F15FD9" w:rsidP="00F15FD9">
      <w:pPr>
        <w:pStyle w:val="Sinespaciado"/>
      </w:pPr>
      <w:r w:rsidRPr="00300C99">
        <w:t>COTEJÓ</w:t>
      </w:r>
    </w:p>
    <w:p w14:paraId="3C72C813" w14:textId="77777777" w:rsidR="00404187" w:rsidRPr="00404187" w:rsidRDefault="00404187" w:rsidP="00404187">
      <w:pPr>
        <w:pStyle w:val="corte2ponente"/>
        <w:rPr>
          <w:rFonts w:ascii="Arial" w:hAnsi="Arial" w:cs="Arial"/>
          <w:sz w:val="26"/>
          <w:szCs w:val="26"/>
        </w:rPr>
      </w:pPr>
      <w:r w:rsidRPr="00F96666">
        <w:rPr>
          <w:rFonts w:ascii="Arial" w:hAnsi="Arial" w:cs="Arial"/>
          <w:sz w:val="26"/>
          <w:szCs w:val="26"/>
        </w:rPr>
        <w:t>SECRETARIo: ALFREDO NARVÁEZ MEDÉCIGO</w:t>
      </w:r>
    </w:p>
    <w:p w14:paraId="1A72593F" w14:textId="77777777" w:rsidR="00404187" w:rsidRPr="00300C99" w:rsidRDefault="00404187" w:rsidP="00404187">
      <w:pPr>
        <w:spacing w:before="0" w:after="0"/>
        <w:rPr>
          <w:b/>
          <w:sz w:val="26"/>
          <w:szCs w:val="26"/>
        </w:rPr>
      </w:pPr>
      <w:r w:rsidRPr="00300C99">
        <w:rPr>
          <w:b/>
          <w:sz w:val="26"/>
          <w:szCs w:val="26"/>
        </w:rPr>
        <w:t xml:space="preserve">COLABORÓ: </w:t>
      </w:r>
      <w:r w:rsidRPr="00404187">
        <w:rPr>
          <w:b/>
          <w:bCs/>
          <w:sz w:val="26"/>
          <w:szCs w:val="26"/>
        </w:rPr>
        <w:t>RAFAEL DE LEÓN DEL ÁNGEL</w:t>
      </w:r>
    </w:p>
    <w:p w14:paraId="1D457155" w14:textId="77777777" w:rsidR="00F15FD9" w:rsidRPr="00300C99" w:rsidRDefault="00F15FD9" w:rsidP="00F15FD9">
      <w:pPr>
        <w:pStyle w:val="Prrafo"/>
      </w:pPr>
    </w:p>
    <w:p w14:paraId="0C197FAE" w14:textId="72CF468F" w:rsidR="00F15FD9" w:rsidRDefault="00F15FD9" w:rsidP="00F15FD9">
      <w:pPr>
        <w:pStyle w:val="Prrafo"/>
      </w:pPr>
      <w:r w:rsidRPr="00300C99">
        <w:t xml:space="preserve">Ciudad de México. </w:t>
      </w:r>
      <w:r w:rsidR="004A2041">
        <w:t>La Segunda Sala</w:t>
      </w:r>
      <w:r w:rsidR="00AE6902">
        <w:t xml:space="preserve"> </w:t>
      </w:r>
      <w:r w:rsidRPr="00300C99">
        <w:t>de la Suprema Corte de Justicia de la Nación, en sesión correspondiente al</w:t>
      </w:r>
      <w:r w:rsidR="00F62A2D">
        <w:t xml:space="preserve"> veinticinco</w:t>
      </w:r>
      <w:r w:rsidR="00404187" w:rsidRPr="00513530">
        <w:rPr>
          <w:lang w:eastAsia="es-ES"/>
        </w:rPr>
        <w:t xml:space="preserve"> de </w:t>
      </w:r>
      <w:r w:rsidR="00F62A2D">
        <w:rPr>
          <w:lang w:eastAsia="es-ES"/>
        </w:rPr>
        <w:t>mayo</w:t>
      </w:r>
      <w:r w:rsidR="00404187" w:rsidRPr="00513530">
        <w:rPr>
          <w:lang w:eastAsia="es-ES"/>
        </w:rPr>
        <w:t xml:space="preserve"> de dos mil </w:t>
      </w:r>
      <w:r w:rsidR="00404187">
        <w:rPr>
          <w:lang w:eastAsia="es-ES"/>
        </w:rPr>
        <w:t>veintidós</w:t>
      </w:r>
      <w:r w:rsidRPr="00300C99">
        <w:t>, emite la siguiente:</w:t>
      </w:r>
    </w:p>
    <w:p w14:paraId="4943F9B9" w14:textId="77777777" w:rsidR="00EC3D19" w:rsidRPr="00300C99" w:rsidRDefault="00EC3D19" w:rsidP="00F15FD9">
      <w:pPr>
        <w:pStyle w:val="Prrafo"/>
      </w:pPr>
    </w:p>
    <w:p w14:paraId="4FCFFAEF" w14:textId="77777777" w:rsidR="00F15FD9" w:rsidRPr="00300C99" w:rsidRDefault="00F15FD9" w:rsidP="00F15FD9">
      <w:pPr>
        <w:pStyle w:val="Ttulo2"/>
        <w:spacing w:before="240"/>
        <w:rPr>
          <w:rFonts w:ascii="Arial" w:hAnsi="Arial"/>
        </w:rPr>
      </w:pPr>
      <w:r w:rsidRPr="00300C99">
        <w:rPr>
          <w:rFonts w:ascii="Arial" w:hAnsi="Arial"/>
        </w:rPr>
        <w:t>SENTENCIA</w:t>
      </w:r>
    </w:p>
    <w:p w14:paraId="0D9940B0" w14:textId="4BB57533" w:rsidR="006B0B81" w:rsidRDefault="00F15FD9" w:rsidP="006B0B81">
      <w:pPr>
        <w:pStyle w:val="Prrafo"/>
      </w:pPr>
      <w:r w:rsidRPr="00300C99">
        <w:t>Mediante</w:t>
      </w:r>
      <w:r w:rsidRPr="00300C99">
        <w:rPr>
          <w:b/>
        </w:rPr>
        <w:t xml:space="preserve"> </w:t>
      </w:r>
      <w:r w:rsidRPr="00300C99">
        <w:t xml:space="preserve">la cual se resuelve la </w:t>
      </w:r>
      <w:r w:rsidR="009A2A48">
        <w:t>controversia constitucional</w:t>
      </w:r>
      <w:r w:rsidRPr="00300C99">
        <w:t xml:space="preserve"> </w:t>
      </w:r>
      <w:r w:rsidR="004A2041">
        <w:t>171/2021</w:t>
      </w:r>
      <w:r w:rsidRPr="00300C99">
        <w:t>, promovida por</w:t>
      </w:r>
      <w:r w:rsidR="00AE6902">
        <w:t xml:space="preserve"> </w:t>
      </w:r>
      <w:r w:rsidR="00C106C9">
        <w:t xml:space="preserve">el </w:t>
      </w:r>
      <w:r w:rsidR="004A2041">
        <w:t>Poder Legislativo del Estado de Nayarit</w:t>
      </w:r>
      <w:r w:rsidRPr="00300C99">
        <w:t>, contra</w:t>
      </w:r>
      <w:r w:rsidR="00AE6902">
        <w:t xml:space="preserve"> </w:t>
      </w:r>
      <w:r w:rsidR="000269BE">
        <w:t>el Tribunal Estatal Electoral de Nayarit</w:t>
      </w:r>
      <w:r w:rsidRPr="00300C99">
        <w:t>.</w:t>
      </w:r>
    </w:p>
    <w:p w14:paraId="4B5353CA" w14:textId="77777777" w:rsidR="00F15FD9" w:rsidRPr="00300C99" w:rsidRDefault="00F15FD9" w:rsidP="0075137E">
      <w:pPr>
        <w:pStyle w:val="Ttulo3"/>
        <w:numPr>
          <w:ilvl w:val="0"/>
          <w:numId w:val="0"/>
        </w:numPr>
        <w:ind w:left="1080"/>
      </w:pPr>
      <w:r w:rsidRPr="00300C99">
        <w:t>ANTECEDENTES Y TRÁMITE DE LA DEMANDA</w:t>
      </w:r>
    </w:p>
    <w:p w14:paraId="4456154A" w14:textId="59523B73" w:rsidR="00B50CA8" w:rsidRDefault="00B50CA8" w:rsidP="00CE53C8">
      <w:pPr>
        <w:pStyle w:val="Prrafo"/>
        <w:numPr>
          <w:ilvl w:val="0"/>
          <w:numId w:val="6"/>
        </w:numPr>
        <w:ind w:left="0" w:hanging="567"/>
      </w:pPr>
      <w:r w:rsidRPr="00B50CA8">
        <w:rPr>
          <w:b/>
        </w:rPr>
        <w:t>Hechos que dieron lugar a la controversia</w:t>
      </w:r>
      <w:r w:rsidRPr="00B50CA8">
        <w:rPr>
          <w:bCs/>
        </w:rPr>
        <w:t xml:space="preserve">. El treinta y uno de mayo de dos mil veintiuno un grupo de manifestantes tomó el control de las instalaciones del Consejo Municipal Electoral ubicado en el Municipio </w:t>
      </w:r>
      <w:r w:rsidRPr="00B50CA8">
        <w:t>de La Yesca, Estado de Nayarit</w:t>
      </w:r>
      <w:r>
        <w:rPr>
          <w:rStyle w:val="Refdenotaalpie"/>
        </w:rPr>
        <w:footnoteReference w:id="1"/>
      </w:r>
      <w:r w:rsidRPr="00B50CA8">
        <w:t xml:space="preserve">. </w:t>
      </w:r>
      <w:r w:rsidR="00CE53C8">
        <w:t>Con motivo de ese incidente, e</w:t>
      </w:r>
      <w:r w:rsidRPr="00B50CA8">
        <w:t xml:space="preserve">l </w:t>
      </w:r>
      <w:r w:rsidRPr="00CE53C8">
        <w:rPr>
          <w:bCs/>
        </w:rPr>
        <w:t xml:space="preserve">seis de junio de </w:t>
      </w:r>
      <w:r w:rsidR="00CE53C8">
        <w:rPr>
          <w:bCs/>
        </w:rPr>
        <w:t>ese mismo año</w:t>
      </w:r>
      <w:r w:rsidRPr="00CE53C8">
        <w:rPr>
          <w:bCs/>
        </w:rPr>
        <w:t xml:space="preserve"> </w:t>
      </w:r>
      <w:r w:rsidRPr="00B50CA8">
        <w:t>el Instituto Estatal Electoral de Nayarit se encontró impedido para llevar a cabo la jornada electoral para renovar a los integrantes del Ayuntamiento del Municipio de La Yesca</w:t>
      </w:r>
      <w:r w:rsidR="00CE53C8">
        <w:t>. E</w:t>
      </w:r>
      <w:r w:rsidR="00BA618C">
        <w:t xml:space="preserve">n días posteriores </w:t>
      </w:r>
      <w:r w:rsidRPr="00B50CA8">
        <w:t xml:space="preserve">el </w:t>
      </w:r>
      <w:proofErr w:type="gramStart"/>
      <w:r w:rsidRPr="00B50CA8">
        <w:t>Consejero Presidente</w:t>
      </w:r>
      <w:proofErr w:type="gramEnd"/>
      <w:r w:rsidRPr="00B50CA8">
        <w:t xml:space="preserve"> de esa institución </w:t>
      </w:r>
      <w:r w:rsidRPr="00B50CA8">
        <w:lastRenderedPageBreak/>
        <w:t>electoral dio vista al Fiscal Especializado en Materia de Delitos Electorales con motivo de los hechos ocurridos</w:t>
      </w:r>
      <w:r>
        <w:rPr>
          <w:rStyle w:val="Refdenotaalpie"/>
        </w:rPr>
        <w:footnoteReference w:id="2"/>
      </w:r>
      <w:r w:rsidRPr="00B50CA8">
        <w:t xml:space="preserve">. </w:t>
      </w:r>
    </w:p>
    <w:p w14:paraId="2F4C00A6" w14:textId="2138F212" w:rsidR="00B50CA8" w:rsidRDefault="00B50CA8" w:rsidP="00B50CA8">
      <w:pPr>
        <w:pStyle w:val="Prrafo"/>
        <w:numPr>
          <w:ilvl w:val="0"/>
          <w:numId w:val="6"/>
        </w:numPr>
        <w:ind w:left="0" w:hanging="567"/>
      </w:pPr>
      <w:r w:rsidRPr="00B50CA8">
        <w:t>El veinticinco de junio de dos mil veintiuno el Consejo Local Electoral del Instituto Estatal Electoral de Nayarit celebró la cuadragésima sesión pública extraordinaria con carácter urgente</w:t>
      </w:r>
      <w:r w:rsidR="00EF2CDD">
        <w:t>. P</w:t>
      </w:r>
      <w:r w:rsidRPr="00B50CA8">
        <w:t>or unanimidad de votos</w:t>
      </w:r>
      <w:r w:rsidR="00EF2CDD">
        <w:t xml:space="preserve"> </w:t>
      </w:r>
      <w:r w:rsidRPr="00B50CA8">
        <w:t xml:space="preserve">declaró la conclusión de las actividades del </w:t>
      </w:r>
      <w:r w:rsidRPr="00B50CA8">
        <w:rPr>
          <w:bCs/>
        </w:rPr>
        <w:t xml:space="preserve">Consejo Municipal Electoral </w:t>
      </w:r>
      <w:r w:rsidRPr="00B50CA8">
        <w:t>de La Yesca, por lo que respecta al Proceso Electoral Local Ordinario 2021 y ordenó dar vista con el contenido de lo acordado al Congreso del Estado</w:t>
      </w:r>
      <w:r>
        <w:rPr>
          <w:rStyle w:val="Refdenotaalpie"/>
        </w:rPr>
        <w:footnoteReference w:id="3"/>
      </w:r>
      <w:r w:rsidRPr="00B50CA8">
        <w:t xml:space="preserve">. </w:t>
      </w:r>
    </w:p>
    <w:p w14:paraId="5C52D884" w14:textId="78BC3768" w:rsidR="00B50CA8" w:rsidRDefault="00B50CA8" w:rsidP="00B50CA8">
      <w:pPr>
        <w:pStyle w:val="Prrafo"/>
        <w:numPr>
          <w:ilvl w:val="0"/>
          <w:numId w:val="6"/>
        </w:numPr>
        <w:ind w:left="0" w:hanging="567"/>
      </w:pPr>
      <w:r w:rsidRPr="00B50CA8">
        <w:t>Con motivo de lo anterior, el diez de septiembre de dos mil veintiuno la Comisión de Gobernación y Puntos Constitucionales del Congreso del Estado de Nayarit estableció el inicio del Proceso de Designación del Concejo Municipal de La Yesca, Nayarit</w:t>
      </w:r>
      <w:r>
        <w:rPr>
          <w:rStyle w:val="Refdenotaalpie"/>
        </w:rPr>
        <w:footnoteReference w:id="4"/>
      </w:r>
      <w:r w:rsidR="00EF2CDD">
        <w:t>. E</w:t>
      </w:r>
      <w:r w:rsidRPr="00B50CA8">
        <w:t xml:space="preserve">l catorce siguiente el Congreso del Estado emitió el </w:t>
      </w:r>
      <w:r w:rsidR="00CE53C8">
        <w:t>“</w:t>
      </w:r>
      <w:r w:rsidRPr="00B50CA8">
        <w:t xml:space="preserve">Decreto que </w:t>
      </w:r>
      <w:r w:rsidR="004E5FA4">
        <w:t>aprueba la integración</w:t>
      </w:r>
      <w:r w:rsidRPr="00B50CA8">
        <w:t xml:space="preserve"> </w:t>
      </w:r>
      <w:r w:rsidR="004E5FA4">
        <w:t>d</w:t>
      </w:r>
      <w:r w:rsidRPr="00B50CA8">
        <w:t>el Concejo Municipal que se hará cargo de la administración y gobierno del Municipio de La Yesca, Nayarit, en tanto se convoca a elecciones y el Ayuntamiento electo toma protesta</w:t>
      </w:r>
      <w:r w:rsidR="00CE53C8">
        <w:t>”</w:t>
      </w:r>
      <w:r>
        <w:rPr>
          <w:rStyle w:val="Refdenotaalpie"/>
        </w:rPr>
        <w:footnoteReference w:id="5"/>
      </w:r>
      <w:r w:rsidRPr="00B50CA8">
        <w:t xml:space="preserve">. </w:t>
      </w:r>
    </w:p>
    <w:p w14:paraId="6E70DDDC" w14:textId="30AF7458" w:rsidR="00B50CA8" w:rsidRDefault="00B50CA8" w:rsidP="00EF2CDD">
      <w:pPr>
        <w:pStyle w:val="Prrafo"/>
        <w:numPr>
          <w:ilvl w:val="0"/>
          <w:numId w:val="6"/>
        </w:numPr>
        <w:ind w:left="0" w:hanging="567"/>
      </w:pPr>
      <w:r w:rsidRPr="00B50CA8">
        <w:t>El veintiuno de septiembre de</w:t>
      </w:r>
      <w:r w:rsidR="00FF5E43">
        <w:t xml:space="preserve">l mismo año </w:t>
      </w:r>
      <w:r w:rsidRPr="00B50CA8">
        <w:t xml:space="preserve">diversos ciudadanos promovieron el juicio para la protección de los derechos político-electorales del ciudadano nayarita TEE-JDCN-106/2021 en contra del Decreto expedido. </w:t>
      </w:r>
      <w:r w:rsidR="00EF2CDD">
        <w:t xml:space="preserve">El veintiuno de octubre </w:t>
      </w:r>
      <w:r w:rsidR="008816EF">
        <w:t>siguiente</w:t>
      </w:r>
      <w:r w:rsidR="00EF2CDD">
        <w:t xml:space="preserve"> </w:t>
      </w:r>
      <w:r w:rsidRPr="00B50CA8">
        <w:t>el Tribunal Estatal Electoral de Nayarit</w:t>
      </w:r>
      <w:r w:rsidR="008816EF">
        <w:t xml:space="preserve"> </w:t>
      </w:r>
      <w:r w:rsidR="00C42DB9">
        <w:t xml:space="preserve">dictó sentencia y </w:t>
      </w:r>
      <w:r w:rsidRPr="00B50CA8">
        <w:t>revocó el Decreto impugnado</w:t>
      </w:r>
      <w:r w:rsidR="00CA0B08">
        <w:rPr>
          <w:rStyle w:val="Refdenotaalpie"/>
        </w:rPr>
        <w:footnoteReference w:id="6"/>
      </w:r>
      <w:r w:rsidRPr="00B50CA8">
        <w:t xml:space="preserve">. </w:t>
      </w:r>
    </w:p>
    <w:p w14:paraId="37E9244A" w14:textId="1FE22137" w:rsidR="00B50CA8" w:rsidRPr="00B50CA8" w:rsidRDefault="00B50CA8" w:rsidP="00B50CA8">
      <w:pPr>
        <w:pStyle w:val="Prrafo"/>
        <w:numPr>
          <w:ilvl w:val="0"/>
          <w:numId w:val="6"/>
        </w:numPr>
        <w:ind w:left="0" w:hanging="567"/>
      </w:pPr>
      <w:r w:rsidRPr="00B50CA8">
        <w:rPr>
          <w:b/>
        </w:rPr>
        <w:t>Presentación de diversos medios de impugnación</w:t>
      </w:r>
      <w:r w:rsidR="0092740C">
        <w:rPr>
          <w:b/>
        </w:rPr>
        <w:t xml:space="preserve"> electorales</w:t>
      </w:r>
      <w:r w:rsidRPr="00B50CA8">
        <w:rPr>
          <w:b/>
          <w:bCs/>
        </w:rPr>
        <w:t xml:space="preserve">. </w:t>
      </w:r>
      <w:r w:rsidRPr="00B50CA8">
        <w:t xml:space="preserve">El veintiséis y veintisiete de octubre de dos mil veintiuno diversos ciudadanos promovieron </w:t>
      </w:r>
      <w:r w:rsidR="009E48E6">
        <w:t xml:space="preserve">ante la Sala Regional Guadalajara del Tribunal Electoral del </w:t>
      </w:r>
      <w:r w:rsidR="00877D1A">
        <w:t>P</w:t>
      </w:r>
      <w:r w:rsidR="009E48E6">
        <w:t xml:space="preserve">oder Judicial de la Federación </w:t>
      </w:r>
      <w:r w:rsidRPr="00B50CA8">
        <w:t xml:space="preserve">diferentes medios de impugnación en contra de la </w:t>
      </w:r>
      <w:r w:rsidRPr="00B50CA8">
        <w:rPr>
          <w:bCs/>
        </w:rPr>
        <w:t xml:space="preserve">resolución del </w:t>
      </w:r>
      <w:r w:rsidRPr="00B50CA8">
        <w:t>juicio para la protección de los derechos político-electorales del ciudadano nayarita TEE-JDCN-106/2021</w:t>
      </w:r>
      <w:r w:rsidRPr="00B50CA8">
        <w:rPr>
          <w:bCs/>
        </w:rPr>
        <w:t xml:space="preserve">. Tales medios de impugnación fueron registrados como SG-JE-133/2021, SG-JDC-996/2021, SG-JDC-997/2021, </w:t>
      </w:r>
      <w:r w:rsidRPr="00B50CA8">
        <w:rPr>
          <w:bCs/>
        </w:rPr>
        <w:lastRenderedPageBreak/>
        <w:t>SG-JDC-998/2021, SG-JDC-999/2021, SG-JDC-1000/2021, SG-JDC-1001/2021, SG-JDC-1002/2021, SG-JDC-1003/2021 y SG-JDC-1004/2021</w:t>
      </w:r>
      <w:r>
        <w:rPr>
          <w:rStyle w:val="Refdenotaalpie"/>
          <w:bCs/>
        </w:rPr>
        <w:footnoteReference w:id="7"/>
      </w:r>
      <w:r w:rsidRPr="00B50CA8">
        <w:rPr>
          <w:bCs/>
        </w:rPr>
        <w:t xml:space="preserve">. </w:t>
      </w:r>
    </w:p>
    <w:p w14:paraId="67C7CE41" w14:textId="7808D1B1" w:rsidR="00B50CA8" w:rsidRDefault="00B50CA8" w:rsidP="00B50CA8">
      <w:pPr>
        <w:pStyle w:val="Prrafo"/>
        <w:numPr>
          <w:ilvl w:val="0"/>
          <w:numId w:val="6"/>
        </w:numPr>
        <w:ind w:left="0" w:hanging="567"/>
      </w:pPr>
      <w:r w:rsidRPr="00B50CA8">
        <w:rPr>
          <w:b/>
        </w:rPr>
        <w:t xml:space="preserve">Promoción de la controversia constitucional. </w:t>
      </w:r>
      <w:r w:rsidRPr="00B50CA8">
        <w:rPr>
          <w:bCs/>
        </w:rPr>
        <w:t xml:space="preserve">El veintiocho de octubre de dos mil veintiuno el Poder Legislativo del Estado de Nayarit, a través de la Titular de la Unidad Jurídica, promovió controversia constitucional en contra del </w:t>
      </w:r>
      <w:r w:rsidRPr="00B50CA8">
        <w:t>Tribunal Estatal Electoral de Nayarit</w:t>
      </w:r>
      <w:r w:rsidRPr="00B50CA8">
        <w:rPr>
          <w:bCs/>
        </w:rPr>
        <w:t xml:space="preserve">. En su demanda señaló como acto impugnado: la resolución dictada el veintiuno de octubre de dos mil veintiuno en el </w:t>
      </w:r>
      <w:r w:rsidRPr="00B50CA8">
        <w:t>juicio para la protección de los derechos político-electorales del ciudadano nayarita TEE-JDCN-106/2021</w:t>
      </w:r>
      <w:r w:rsidRPr="00B50CA8">
        <w:rPr>
          <w:bCs/>
        </w:rPr>
        <w:t xml:space="preserve"> y su ejecución. </w:t>
      </w:r>
      <w:r w:rsidRPr="00B50CA8">
        <w:t>Por otra parte, el actor solicitó en su escrito de demanda la suspensión de los actos impugnados hasta en tanto se resolviera el fondo de la controversia constitucional planteada</w:t>
      </w:r>
      <w:r>
        <w:rPr>
          <w:rStyle w:val="Refdenotaalpie"/>
          <w:bCs/>
        </w:rPr>
        <w:footnoteReference w:id="8"/>
      </w:r>
      <w:r w:rsidRPr="00B50CA8">
        <w:t>.</w:t>
      </w:r>
    </w:p>
    <w:p w14:paraId="0C4813D4" w14:textId="77777777" w:rsidR="00B50CA8" w:rsidRDefault="00B50CA8" w:rsidP="00B50CA8">
      <w:pPr>
        <w:pStyle w:val="Prrafo"/>
        <w:numPr>
          <w:ilvl w:val="0"/>
          <w:numId w:val="6"/>
        </w:numPr>
        <w:ind w:left="0" w:hanging="567"/>
      </w:pPr>
      <w:r w:rsidRPr="00B50CA8">
        <w:rPr>
          <w:b/>
          <w:lang w:val="es-ES_tradnl"/>
        </w:rPr>
        <w:t xml:space="preserve">Trámite y auto de presidencia. </w:t>
      </w:r>
      <w:r w:rsidRPr="00B50CA8">
        <w:t xml:space="preserve">El ocho de noviembre de dos mil veintiuno el ministro </w:t>
      </w:r>
      <w:proofErr w:type="gramStart"/>
      <w:r w:rsidRPr="00B50CA8">
        <w:t>Presidente</w:t>
      </w:r>
      <w:proofErr w:type="gramEnd"/>
      <w:r w:rsidRPr="00B50CA8">
        <w:t xml:space="preserve"> de la Suprema Corte de Justicia de la Nación acordó formar el expediente relativo a la controversia constitucional, registrarla bajo el número 171/2021 y turnar el asunto al ministro Javier Laynez Potisek para que se encargara de instruir el procedimiento correspondiente</w:t>
      </w:r>
      <w:r>
        <w:rPr>
          <w:rStyle w:val="Refdenotaalpie"/>
        </w:rPr>
        <w:footnoteReference w:id="9"/>
      </w:r>
      <w:r w:rsidRPr="00B50CA8">
        <w:t>.</w:t>
      </w:r>
    </w:p>
    <w:p w14:paraId="736CF34E" w14:textId="25CC48A7" w:rsidR="00B50CA8" w:rsidRDefault="00B50CA8" w:rsidP="00B50CA8">
      <w:pPr>
        <w:pStyle w:val="Prrafo"/>
        <w:numPr>
          <w:ilvl w:val="0"/>
          <w:numId w:val="6"/>
        </w:numPr>
        <w:ind w:left="0" w:hanging="567"/>
      </w:pPr>
      <w:r w:rsidRPr="00B50CA8">
        <w:rPr>
          <w:b/>
        </w:rPr>
        <w:t>Acumulación y resolución de los medios de impugnación</w:t>
      </w:r>
      <w:r w:rsidR="0092740C">
        <w:rPr>
          <w:b/>
        </w:rPr>
        <w:t xml:space="preserve"> electorales</w:t>
      </w:r>
      <w:r w:rsidRPr="00B50CA8">
        <w:rPr>
          <w:b/>
        </w:rPr>
        <w:t xml:space="preserve">. </w:t>
      </w:r>
      <w:r w:rsidRPr="00B50CA8">
        <w:rPr>
          <w:bCs/>
        </w:rPr>
        <w:t xml:space="preserve">El diez de noviembre de dos mil veintiuno el Pleno de la Sala Regional Guadalajara del Tribunal Electoral del Poder Judicial de la Federación </w:t>
      </w:r>
      <w:r w:rsidR="000E3CF7">
        <w:rPr>
          <w:bCs/>
        </w:rPr>
        <w:t>acumuló</w:t>
      </w:r>
      <w:r w:rsidRPr="00B50CA8">
        <w:rPr>
          <w:bCs/>
        </w:rPr>
        <w:t xml:space="preserve"> los diversos </w:t>
      </w:r>
      <w:r w:rsidR="0092740C">
        <w:rPr>
          <w:bCs/>
        </w:rPr>
        <w:t>medios de impugnación que fueron interpuestos</w:t>
      </w:r>
      <w:r w:rsidRPr="00B50CA8">
        <w:t xml:space="preserve"> al juicio electoral </w:t>
      </w:r>
      <w:r w:rsidRPr="00B50CA8">
        <w:rPr>
          <w:bCs/>
        </w:rPr>
        <w:t>SG-JE-133/2021 y</w:t>
      </w:r>
      <w:r w:rsidR="009E48E6">
        <w:rPr>
          <w:bCs/>
        </w:rPr>
        <w:t xml:space="preserve"> resolvió</w:t>
      </w:r>
      <w:r w:rsidRPr="00B50CA8">
        <w:rPr>
          <w:bCs/>
        </w:rPr>
        <w:t xml:space="preserve">, entre otras cuestiones, </w:t>
      </w:r>
      <w:r w:rsidR="000E3CF7">
        <w:rPr>
          <w:bCs/>
        </w:rPr>
        <w:t>revoc</w:t>
      </w:r>
      <w:r w:rsidR="009E48E6">
        <w:rPr>
          <w:bCs/>
        </w:rPr>
        <w:t>ar</w:t>
      </w:r>
      <w:r w:rsidRPr="00B50CA8">
        <w:rPr>
          <w:bCs/>
        </w:rPr>
        <w:t xml:space="preserve"> la resolución </w:t>
      </w:r>
      <w:r w:rsidR="0092740C">
        <w:rPr>
          <w:bCs/>
        </w:rPr>
        <w:t xml:space="preserve">impugnada </w:t>
      </w:r>
      <w:r w:rsidR="0092740C" w:rsidRPr="002B7182">
        <w:rPr>
          <w:bCs/>
        </w:rPr>
        <w:t>(</w:t>
      </w:r>
      <w:r w:rsidR="0092740C" w:rsidRPr="002B7182">
        <w:rPr>
          <w:bCs/>
          <w:i/>
          <w:iCs/>
        </w:rPr>
        <w:t>supra</w:t>
      </w:r>
      <w:r w:rsidR="0092740C" w:rsidRPr="002B7182">
        <w:rPr>
          <w:bCs/>
        </w:rPr>
        <w:t xml:space="preserve"> párr. </w:t>
      </w:r>
      <w:r w:rsidR="0092740C">
        <w:rPr>
          <w:bCs/>
        </w:rPr>
        <w:t>5</w:t>
      </w:r>
      <w:r w:rsidR="0092740C" w:rsidRPr="002B7182">
        <w:rPr>
          <w:bCs/>
        </w:rPr>
        <w:t>)</w:t>
      </w:r>
      <w:r>
        <w:rPr>
          <w:rStyle w:val="Refdenotaalpie"/>
        </w:rPr>
        <w:footnoteReference w:id="10"/>
      </w:r>
      <w:r w:rsidRPr="00B50CA8">
        <w:t xml:space="preserve">. </w:t>
      </w:r>
    </w:p>
    <w:p w14:paraId="77F9041B" w14:textId="050F27C8" w:rsidR="00B50CA8" w:rsidRPr="00B50CA8" w:rsidRDefault="00B50CA8" w:rsidP="006C3017">
      <w:pPr>
        <w:pStyle w:val="Prrafo"/>
        <w:numPr>
          <w:ilvl w:val="0"/>
          <w:numId w:val="6"/>
        </w:numPr>
        <w:ind w:left="0" w:hanging="567"/>
      </w:pPr>
      <w:r w:rsidRPr="00B50CA8">
        <w:rPr>
          <w:b/>
          <w:lang w:val="es-ES_tradnl"/>
        </w:rPr>
        <w:t>Admisión de la demanda y suspensión</w:t>
      </w:r>
      <w:r w:rsidRPr="00B50CA8">
        <w:rPr>
          <w:lang w:val="es-ES_tradnl"/>
        </w:rPr>
        <w:t xml:space="preserve"> El seis de diciembre de dos mil veintiuno el ministro instructor admitió a trámite la demanda de controversia constitucional, tuvo como autoridad demandada al </w:t>
      </w:r>
      <w:r w:rsidRPr="00B50CA8">
        <w:t xml:space="preserve">Tribunal Estatal Electoral de Nayarit </w:t>
      </w:r>
      <w:r w:rsidR="006C3017">
        <w:t xml:space="preserve">y como tercero interesado al Concejo Municipal de La Yesca, Estado de Nayarit. Finalmente, </w:t>
      </w:r>
      <w:r w:rsidRPr="006C3017">
        <w:rPr>
          <w:lang w:val="es-ES_tradnl"/>
        </w:rPr>
        <w:t>ordenó abrir el incidente de suspensión respectivo</w:t>
      </w:r>
      <w:r>
        <w:rPr>
          <w:rStyle w:val="Refdenotaalpie"/>
        </w:rPr>
        <w:footnoteReference w:id="11"/>
      </w:r>
      <w:r w:rsidRPr="006C3017">
        <w:rPr>
          <w:lang w:val="es-ES_tradnl"/>
        </w:rPr>
        <w:t xml:space="preserve">. </w:t>
      </w:r>
      <w:r w:rsidRPr="006C3017">
        <w:rPr>
          <w:lang w:val="es-ES_tradnl"/>
        </w:rPr>
        <w:lastRenderedPageBreak/>
        <w:t xml:space="preserve">Dentro de dicho incidente, el ministro instructor resolvió </w:t>
      </w:r>
      <w:r w:rsidRPr="006C3017">
        <w:rPr>
          <w:b/>
          <w:bCs/>
          <w:lang w:val="es-ES_tradnl"/>
        </w:rPr>
        <w:t>otorgar la suspensión</w:t>
      </w:r>
      <w:r w:rsidRPr="006C3017">
        <w:rPr>
          <w:lang w:val="es-ES_tradnl"/>
        </w:rPr>
        <w:t xml:space="preserve"> respecto de </w:t>
      </w:r>
      <w:r w:rsidRPr="00B50CA8">
        <w:t xml:space="preserve">la </w:t>
      </w:r>
      <w:r w:rsidRPr="006C3017">
        <w:rPr>
          <w:b/>
          <w:bCs/>
        </w:rPr>
        <w:t xml:space="preserve">ejecución </w:t>
      </w:r>
      <w:r w:rsidRPr="00B50CA8">
        <w:t>de la resolución impugnada</w:t>
      </w:r>
      <w:r>
        <w:rPr>
          <w:rStyle w:val="Refdenotaalpie"/>
          <w:lang w:val="es-ES_tradnl"/>
        </w:rPr>
        <w:footnoteReference w:id="12"/>
      </w:r>
      <w:r w:rsidRPr="006C3017">
        <w:rPr>
          <w:lang w:val="es-ES_tradnl"/>
        </w:rPr>
        <w:t>.</w:t>
      </w:r>
    </w:p>
    <w:p w14:paraId="5313191B" w14:textId="0430F81A" w:rsidR="00B50CA8" w:rsidRPr="00B50CA8" w:rsidRDefault="00B50CA8" w:rsidP="00EA142D">
      <w:pPr>
        <w:pStyle w:val="Prrafo"/>
        <w:numPr>
          <w:ilvl w:val="0"/>
          <w:numId w:val="6"/>
        </w:numPr>
        <w:ind w:left="0" w:hanging="567"/>
      </w:pPr>
      <w:r w:rsidRPr="00B50CA8">
        <w:rPr>
          <w:b/>
        </w:rPr>
        <w:t xml:space="preserve">Contestación a la demanda y requerimiento. </w:t>
      </w:r>
      <w:r w:rsidRPr="00B50CA8">
        <w:t>El veintiuno de enero de dos mil veintidós, el Tribunal Estatal Electoral de Nayarit dio contestación a la demanda</w:t>
      </w:r>
      <w:r w:rsidRPr="00513530">
        <w:rPr>
          <w:rStyle w:val="Refdenotaalpie"/>
        </w:rPr>
        <w:footnoteReference w:id="13"/>
      </w:r>
      <w:r w:rsidRPr="00B50CA8">
        <w:t>. El</w:t>
      </w:r>
      <w:r w:rsidR="00EA142D">
        <w:t xml:space="preserve"> tres </w:t>
      </w:r>
      <w:r w:rsidRPr="00B50CA8">
        <w:t>de febrero del mismo año el ministro instructor la agregó al expediente y requirió a la</w:t>
      </w:r>
      <w:r w:rsidR="00EA142D">
        <w:t xml:space="preserve"> Sala Regional Guadalajara del Tribunal Electoral del Poder Judicial de la Federación </w:t>
      </w:r>
      <w:r w:rsidRPr="00B50CA8">
        <w:t xml:space="preserve">para que en un plazo de </w:t>
      </w:r>
      <w:r w:rsidRPr="00EA142D">
        <w:t>tres</w:t>
      </w:r>
      <w:r w:rsidRPr="00B50CA8">
        <w:t xml:space="preserve"> días hábiles informara si </w:t>
      </w:r>
      <w:r w:rsidR="00EA142D">
        <w:t xml:space="preserve">existía un medio de impugnación interpuesto en contra de la sentencia dictada en el </w:t>
      </w:r>
      <w:r w:rsidRPr="00B50CA8">
        <w:t xml:space="preserve">juicio electoral </w:t>
      </w:r>
      <w:r w:rsidRPr="00EA142D">
        <w:rPr>
          <w:bCs/>
        </w:rPr>
        <w:t>SG-JE-133/2021 y sus acumulados</w:t>
      </w:r>
      <w:r w:rsidR="00EA142D">
        <w:rPr>
          <w:bCs/>
        </w:rPr>
        <w:t xml:space="preserve">, en cuyo caso </w:t>
      </w:r>
      <w:r w:rsidR="009035DD">
        <w:rPr>
          <w:bCs/>
        </w:rPr>
        <w:t xml:space="preserve">debía </w:t>
      </w:r>
      <w:r w:rsidR="00EA142D">
        <w:rPr>
          <w:bCs/>
        </w:rPr>
        <w:t>informar el número de expediente relativo al medio de impugnación, así como su estado procesal o, en su defecto, la fecha en que esa resolución hubiera causado ejecutoria</w:t>
      </w:r>
      <w:r>
        <w:rPr>
          <w:rStyle w:val="Refdenotaalpie"/>
          <w:bCs/>
        </w:rPr>
        <w:footnoteReference w:id="14"/>
      </w:r>
      <w:r w:rsidRPr="00EA142D">
        <w:rPr>
          <w:bCs/>
        </w:rPr>
        <w:t xml:space="preserve">. </w:t>
      </w:r>
    </w:p>
    <w:p w14:paraId="6F036BF3" w14:textId="47E4893F" w:rsidR="00B50CA8" w:rsidRDefault="00B50CA8" w:rsidP="006D01D9">
      <w:pPr>
        <w:pStyle w:val="Prrafo"/>
        <w:numPr>
          <w:ilvl w:val="0"/>
          <w:numId w:val="6"/>
        </w:numPr>
        <w:ind w:left="0" w:hanging="567"/>
      </w:pPr>
      <w:r w:rsidRPr="00B50CA8">
        <w:rPr>
          <w:b/>
        </w:rPr>
        <w:t xml:space="preserve">Desahogo del requerimiento. </w:t>
      </w:r>
      <w:r w:rsidRPr="00B50CA8">
        <w:t>El</w:t>
      </w:r>
      <w:r w:rsidR="00EA142D">
        <w:t xml:space="preserve"> veintiuno </w:t>
      </w:r>
      <w:r w:rsidRPr="00B50CA8">
        <w:t xml:space="preserve">de febrero de dos mil veintidós la </w:t>
      </w:r>
      <w:r w:rsidR="00EA142D">
        <w:t xml:space="preserve">autoridad requerida </w:t>
      </w:r>
      <w:r w:rsidRPr="00B50CA8">
        <w:t>presentó un oficio en el que manifestó</w:t>
      </w:r>
      <w:r w:rsidR="006D01D9">
        <w:t xml:space="preserve">, por una parte, </w:t>
      </w:r>
      <w:r w:rsidRPr="00B50CA8">
        <w:t xml:space="preserve">que </w:t>
      </w:r>
      <w:r w:rsidR="00EA142D">
        <w:t xml:space="preserve">las partes no interpusieron </w:t>
      </w:r>
      <w:r w:rsidR="006D01D9">
        <w:t xml:space="preserve">algún medio de impugnación en contra de la sentencia dictada en el </w:t>
      </w:r>
      <w:r w:rsidRPr="00B50CA8">
        <w:t xml:space="preserve">juicio electoral </w:t>
      </w:r>
      <w:r w:rsidRPr="006D01D9">
        <w:rPr>
          <w:bCs/>
        </w:rPr>
        <w:t>SG-JE-133/2021 y sus acumulados</w:t>
      </w:r>
      <w:r w:rsidR="006D01D9">
        <w:rPr>
          <w:bCs/>
        </w:rPr>
        <w:t>,</w:t>
      </w:r>
      <w:r w:rsidRPr="006D01D9">
        <w:rPr>
          <w:bCs/>
        </w:rPr>
        <w:t xml:space="preserve"> </w:t>
      </w:r>
      <w:r w:rsidR="006D01D9">
        <w:rPr>
          <w:bCs/>
        </w:rPr>
        <w:t>y, por otra, que el plazo para hacerlo feneció el trece de noviembre de dos mil veintiuno, por lo que la sentencia adquirió firmeza</w:t>
      </w:r>
      <w:r w:rsidR="00F11FF2">
        <w:rPr>
          <w:bCs/>
        </w:rPr>
        <w:t xml:space="preserve"> el día siguiente</w:t>
      </w:r>
      <w:r>
        <w:rPr>
          <w:rStyle w:val="Refdenotaalpie"/>
        </w:rPr>
        <w:footnoteReference w:id="15"/>
      </w:r>
      <w:r w:rsidRPr="00B50CA8">
        <w:t xml:space="preserve">. </w:t>
      </w:r>
    </w:p>
    <w:p w14:paraId="520E014B" w14:textId="19C86DD9" w:rsidR="00B50CA8" w:rsidRPr="00B50CA8" w:rsidRDefault="00B50CA8" w:rsidP="00B50CA8">
      <w:pPr>
        <w:pStyle w:val="Prrafo"/>
        <w:numPr>
          <w:ilvl w:val="0"/>
          <w:numId w:val="6"/>
        </w:numPr>
        <w:ind w:left="0" w:hanging="567"/>
      </w:pPr>
      <w:r w:rsidRPr="00B50CA8">
        <w:rPr>
          <w:b/>
        </w:rPr>
        <w:t xml:space="preserve">Audiencia pública, alegatos y cierre de instrucción. </w:t>
      </w:r>
      <w:r w:rsidRPr="00B50CA8">
        <w:t>El</w:t>
      </w:r>
      <w:r w:rsidR="00762D2A">
        <w:t xml:space="preserve"> once</w:t>
      </w:r>
      <w:r w:rsidRPr="00B50CA8">
        <w:t xml:space="preserve"> de </w:t>
      </w:r>
      <w:r w:rsidR="00762D2A">
        <w:t>abril</w:t>
      </w:r>
      <w:r w:rsidRPr="00B50CA8">
        <w:t xml:space="preserve"> de dos mil veintidós se celebró la audiencia prevista en el artículo 29 de la Ley Reglamentaria de las Fracciones I y II del Artículo 105 de la Constitución Política de los Estados Unidos Mexicanos (en lo sucesivo “la Ley Reglamentaria”). En ella se hizo la relación de los autos</w:t>
      </w:r>
      <w:r w:rsidR="00752ADC">
        <w:t xml:space="preserve"> y </w:t>
      </w:r>
      <w:r w:rsidRPr="00B50CA8">
        <w:t>se tuvieron por admitidas las pruebas ofrecidas por las partes</w:t>
      </w:r>
      <w:r w:rsidRPr="004265EF">
        <w:rPr>
          <w:rStyle w:val="Refdenotaalpie"/>
          <w:lang w:val="es-ES_tradnl"/>
        </w:rPr>
        <w:footnoteReference w:id="16"/>
      </w:r>
      <w:r w:rsidRPr="00B50CA8">
        <w:t xml:space="preserve">. En consecuencia, el </w:t>
      </w:r>
      <w:r w:rsidR="00157D2F">
        <w:t>veintiuno</w:t>
      </w:r>
      <w:r w:rsidR="005A087B">
        <w:t xml:space="preserve"> de abril</w:t>
      </w:r>
      <w:r w:rsidRPr="00B50CA8">
        <w:t xml:space="preserve"> siguiente se declaró cerrada la instrucción y se colocó el expediente en estado de resolución</w:t>
      </w:r>
      <w:r w:rsidRPr="004265EF">
        <w:rPr>
          <w:rStyle w:val="Refdenotaalpie"/>
          <w:lang w:val="es-ES_tradnl"/>
        </w:rPr>
        <w:footnoteReference w:id="17"/>
      </w:r>
      <w:r w:rsidRPr="00B50CA8">
        <w:rPr>
          <w:lang w:val="es-ES_tradnl"/>
        </w:rPr>
        <w:t>.</w:t>
      </w:r>
    </w:p>
    <w:p w14:paraId="7DC5ACA5" w14:textId="51DC6B08" w:rsidR="00B50CA8" w:rsidRDefault="00B50CA8" w:rsidP="00B50CA8">
      <w:pPr>
        <w:pStyle w:val="Prrafo"/>
        <w:numPr>
          <w:ilvl w:val="0"/>
          <w:numId w:val="6"/>
        </w:numPr>
        <w:ind w:left="0" w:hanging="567"/>
      </w:pPr>
      <w:r w:rsidRPr="00B50CA8">
        <w:rPr>
          <w:b/>
          <w:bCs/>
          <w:lang w:val="es-ES_tradnl"/>
        </w:rPr>
        <w:lastRenderedPageBreak/>
        <w:t>Avocamiento de la controversia en la Segunda Sala.</w:t>
      </w:r>
      <w:r w:rsidRPr="00B50CA8">
        <w:rPr>
          <w:lang w:val="es-ES_tradnl"/>
        </w:rPr>
        <w:t xml:space="preserve"> Finalmente, el </w:t>
      </w:r>
      <w:r w:rsidR="00157D2F">
        <w:rPr>
          <w:lang w:eastAsia="es-ES"/>
        </w:rPr>
        <w:t>dos</w:t>
      </w:r>
      <w:r w:rsidRPr="00B50CA8">
        <w:rPr>
          <w:lang w:eastAsia="es-ES"/>
        </w:rPr>
        <w:t xml:space="preserve"> de </w:t>
      </w:r>
      <w:r w:rsidR="00157D2F">
        <w:rPr>
          <w:lang w:eastAsia="es-ES"/>
        </w:rPr>
        <w:t>mayo</w:t>
      </w:r>
      <w:r w:rsidRPr="00B50CA8">
        <w:rPr>
          <w:lang w:eastAsia="es-ES"/>
        </w:rPr>
        <w:t xml:space="preserve"> siguiente </w:t>
      </w:r>
      <w:r w:rsidRPr="00B50CA8">
        <w:rPr>
          <w:lang w:val="es-ES_tradnl"/>
        </w:rPr>
        <w:t xml:space="preserve">la ministra </w:t>
      </w:r>
      <w:proofErr w:type="gramStart"/>
      <w:r w:rsidRPr="00B50CA8">
        <w:rPr>
          <w:lang w:val="es-ES_tradnl"/>
        </w:rPr>
        <w:t>Presidenta</w:t>
      </w:r>
      <w:proofErr w:type="gramEnd"/>
      <w:r w:rsidRPr="00B50CA8">
        <w:rPr>
          <w:lang w:val="es-ES_tradnl"/>
        </w:rPr>
        <w:t xml:space="preserve"> de la Segunda Sala de la Suprema Corte acordó que ésta se avocara al conocimiento del asunto y se remitieran los autos al ministro ponente para que elaborara el proyecto de resolución respectivo</w:t>
      </w:r>
      <w:r w:rsidRPr="00BA0624">
        <w:rPr>
          <w:vertAlign w:val="superscript"/>
          <w:lang w:val="es-ES_tradnl"/>
        </w:rPr>
        <w:footnoteReference w:id="18"/>
      </w:r>
      <w:r w:rsidRPr="00B50CA8">
        <w:rPr>
          <w:lang w:val="es-ES_tradnl"/>
        </w:rPr>
        <w:t>.</w:t>
      </w:r>
    </w:p>
    <w:p w14:paraId="66039C7F" w14:textId="77777777" w:rsidR="00F15FD9" w:rsidRPr="00300C99" w:rsidRDefault="00F15FD9" w:rsidP="0083324F">
      <w:pPr>
        <w:pStyle w:val="Ttulo3"/>
        <w:ind w:left="0" w:firstLine="0"/>
      </w:pPr>
      <w:r w:rsidRPr="00300C99">
        <w:t>COMPETENCIA</w:t>
      </w:r>
    </w:p>
    <w:p w14:paraId="44AAAE2A" w14:textId="735CA8C4" w:rsidR="00582CC8" w:rsidRPr="00300C99" w:rsidRDefault="00582CC8" w:rsidP="00582CC8">
      <w:pPr>
        <w:pStyle w:val="Prrafo"/>
        <w:numPr>
          <w:ilvl w:val="0"/>
          <w:numId w:val="6"/>
        </w:numPr>
        <w:ind w:left="0" w:hanging="567"/>
      </w:pPr>
      <w:r w:rsidRPr="00582CC8">
        <w:t>La Segunda Sala de la Suprema Corte de Justicia de la Nación es competente para resolver la presente controversia constitucional, de conformidad con los artículos 105, fracción I, inciso k)</w:t>
      </w:r>
      <w:r w:rsidRPr="00223AA8">
        <w:rPr>
          <w:rStyle w:val="Refdenotaalpie"/>
        </w:rPr>
        <w:footnoteReference w:id="19"/>
      </w:r>
      <w:r w:rsidRPr="00582CC8">
        <w:t>, de la Constitución Federal, 10, fracción I</w:t>
      </w:r>
      <w:r w:rsidRPr="00223AA8">
        <w:rPr>
          <w:rStyle w:val="Refdenotaalpie"/>
        </w:rPr>
        <w:footnoteReference w:id="20"/>
      </w:r>
      <w:r w:rsidRPr="00582CC8">
        <w:t>, y 11, fracción VIII</w:t>
      </w:r>
      <w:r w:rsidRPr="00223AA8">
        <w:rPr>
          <w:rStyle w:val="Refdenotaalpie"/>
        </w:rPr>
        <w:footnoteReference w:id="21"/>
      </w:r>
      <w:r w:rsidRPr="00582CC8">
        <w:t>, de la Ley Orgánica del Poder Judicial de la Federación, en relación con el Punto Segundo, fracción I, del acuerdo general plenario 5/2013</w:t>
      </w:r>
      <w:r w:rsidRPr="00223AA8">
        <w:rPr>
          <w:rStyle w:val="Refdenotaalpie"/>
        </w:rPr>
        <w:footnoteReference w:id="22"/>
      </w:r>
      <w:r w:rsidRPr="00582CC8">
        <w:t>, pues se trata de un conflicto entre un órgano constitucional autónomo de una entidad federativa y el Poder Legislativo de esa entidad federativa, sin que sea necesaria la intervención del Tribunal Pleno, por no poder llevarse a cabo un estudio de fondo del asunto.</w:t>
      </w:r>
    </w:p>
    <w:p w14:paraId="297D6F24" w14:textId="6A937A82" w:rsidR="00731DE9" w:rsidRPr="00300C99" w:rsidRDefault="00731DE9" w:rsidP="00731DE9">
      <w:pPr>
        <w:pStyle w:val="Prrafo"/>
        <w:numPr>
          <w:ilvl w:val="0"/>
          <w:numId w:val="6"/>
        </w:numPr>
        <w:ind w:left="0" w:hanging="567"/>
      </w:pPr>
      <w:r w:rsidRPr="0043167C">
        <w:t xml:space="preserve">Estas consideraciones son obligatorias al haberse aprobado por </w:t>
      </w:r>
      <w:r>
        <w:t xml:space="preserve">unanimidad de cinco votos. </w:t>
      </w:r>
    </w:p>
    <w:p w14:paraId="2178FADE" w14:textId="5B3EA772" w:rsidR="00F15FD9" w:rsidRPr="00300C99" w:rsidRDefault="00F15FD9" w:rsidP="0083324F">
      <w:pPr>
        <w:pStyle w:val="Ttulo3"/>
        <w:ind w:left="0" w:firstLine="0"/>
      </w:pPr>
      <w:r w:rsidRPr="00300C99">
        <w:lastRenderedPageBreak/>
        <w:t>PRECISIÓN DE L</w:t>
      </w:r>
      <w:r w:rsidR="00582CC8">
        <w:t xml:space="preserve">OS </w:t>
      </w:r>
      <w:r w:rsidR="00B971F6">
        <w:t xml:space="preserve">ACTOS </w:t>
      </w:r>
      <w:r w:rsidR="002364FF">
        <w:t>IMPUGNADOS</w:t>
      </w:r>
    </w:p>
    <w:p w14:paraId="54A30E72" w14:textId="77777777" w:rsidR="002364FF" w:rsidRDefault="00582CC8" w:rsidP="002364FF">
      <w:pPr>
        <w:pStyle w:val="Prrafo"/>
        <w:numPr>
          <w:ilvl w:val="0"/>
          <w:numId w:val="6"/>
        </w:numPr>
        <w:ind w:left="0" w:hanging="567"/>
      </w:pPr>
      <w:bookmarkStart w:id="0" w:name="_Hlk45891706"/>
      <w:r w:rsidRPr="00582CC8">
        <w:t xml:space="preserve">De acuerdo con </w:t>
      </w:r>
      <w:r w:rsidRPr="00582CC8">
        <w:rPr>
          <w:bCs/>
        </w:rPr>
        <w:t>lo dispuesto en la fracción I del artículo 41 de la Ley Reglamentaria,</w:t>
      </w:r>
      <w:r w:rsidRPr="00511B75">
        <w:rPr>
          <w:vertAlign w:val="superscript"/>
        </w:rPr>
        <w:footnoteReference w:id="23"/>
      </w:r>
      <w:r w:rsidRPr="00582CC8">
        <w:rPr>
          <w:bCs/>
        </w:rPr>
        <w:t xml:space="preserve"> se procede a precisar en forma concreta los actos que son objeto de la presente controversia constitucional</w:t>
      </w:r>
      <w:r w:rsidR="00491581">
        <w:rPr>
          <w:bCs/>
        </w:rPr>
        <w:t>, así como la apreciación de las pruebas para tenerlos por demostrados</w:t>
      </w:r>
      <w:r w:rsidRPr="00582CC8">
        <w:t xml:space="preserve">. </w:t>
      </w:r>
    </w:p>
    <w:p w14:paraId="1DB029B7" w14:textId="200783A0" w:rsidR="00B971F6" w:rsidRPr="002364FF" w:rsidRDefault="00491581" w:rsidP="002364FF">
      <w:pPr>
        <w:pStyle w:val="Prrafo"/>
        <w:numPr>
          <w:ilvl w:val="0"/>
          <w:numId w:val="6"/>
        </w:numPr>
        <w:ind w:left="0" w:hanging="567"/>
      </w:pPr>
      <w:r>
        <w:t>E</w:t>
      </w:r>
      <w:r w:rsidR="00582CC8" w:rsidRPr="00582CC8">
        <w:t xml:space="preserve">l municipio actor </w:t>
      </w:r>
      <w:r w:rsidR="002364FF">
        <w:t>señaló como acto impugnado</w:t>
      </w:r>
      <w:r w:rsidR="00582CC8" w:rsidRPr="00582CC8">
        <w:t xml:space="preserve"> </w:t>
      </w:r>
      <w:r w:rsidR="002364FF">
        <w:rPr>
          <w:bCs/>
        </w:rPr>
        <w:t>l</w:t>
      </w:r>
      <w:r w:rsidR="00582CC8" w:rsidRPr="002364FF">
        <w:rPr>
          <w:bCs/>
        </w:rPr>
        <w:t>a resolución dictada el veintiuno de octubre de dos mil veintiuno</w:t>
      </w:r>
      <w:r w:rsidR="002364FF">
        <w:rPr>
          <w:bCs/>
        </w:rPr>
        <w:t xml:space="preserve"> por el Tribunal Estatal Electoral de Nayarit</w:t>
      </w:r>
      <w:r w:rsidR="00582CC8" w:rsidRPr="002364FF">
        <w:rPr>
          <w:bCs/>
        </w:rPr>
        <w:t xml:space="preserve"> en el </w:t>
      </w:r>
      <w:r w:rsidR="00582CC8" w:rsidRPr="002364FF">
        <w:t xml:space="preserve">juicio para la protección de los derechos político-electorales del ciudadano nayarita TEE-JDCN-106/2021 y su </w:t>
      </w:r>
      <w:r w:rsidR="00582CC8" w:rsidRPr="002364FF">
        <w:rPr>
          <w:bCs/>
        </w:rPr>
        <w:t>ejecución.</w:t>
      </w:r>
      <w:r w:rsidRPr="00491581">
        <w:t xml:space="preserve"> </w:t>
      </w:r>
      <w:r w:rsidR="002364FF">
        <w:rPr>
          <w:bCs/>
        </w:rPr>
        <w:t>La</w:t>
      </w:r>
      <w:r w:rsidRPr="002364FF">
        <w:rPr>
          <w:bCs/>
        </w:rPr>
        <w:t xml:space="preserve"> existencia</w:t>
      </w:r>
      <w:r w:rsidR="002364FF">
        <w:rPr>
          <w:bCs/>
        </w:rPr>
        <w:t xml:space="preserve"> del acto</w:t>
      </w:r>
      <w:r w:rsidRPr="002364FF">
        <w:rPr>
          <w:bCs/>
        </w:rPr>
        <w:t xml:space="preserve"> se tiene por demostrada con la copia certificada de dicha resolución</w:t>
      </w:r>
      <w:r>
        <w:rPr>
          <w:rStyle w:val="Refdenotaalpie"/>
        </w:rPr>
        <w:footnoteReference w:id="24"/>
      </w:r>
      <w:r w:rsidRPr="002364FF">
        <w:rPr>
          <w:bCs/>
        </w:rPr>
        <w:t>.</w:t>
      </w:r>
      <w:bookmarkEnd w:id="0"/>
    </w:p>
    <w:p w14:paraId="7AE2E67A" w14:textId="62A6DF5A" w:rsidR="005977F2" w:rsidRPr="00300C99" w:rsidRDefault="00F15FD9" w:rsidP="00406C61">
      <w:pPr>
        <w:pStyle w:val="Ttulo3"/>
        <w:ind w:left="0" w:firstLine="0"/>
      </w:pPr>
      <w:r w:rsidRPr="00300C99">
        <w:t xml:space="preserve">CAUSA DE IMPROCEDENCIA </w:t>
      </w:r>
    </w:p>
    <w:p w14:paraId="6DB0CB95" w14:textId="4E08AB59" w:rsidR="00F15FD9" w:rsidRPr="00300C99" w:rsidRDefault="0026414A" w:rsidP="00F15FD9">
      <w:pPr>
        <w:pStyle w:val="Prrafo"/>
      </w:pPr>
      <w:r>
        <w:rPr>
          <w:b/>
          <w:bCs/>
        </w:rPr>
        <w:t xml:space="preserve">III.1 </w:t>
      </w:r>
      <w:r w:rsidR="002B7182">
        <w:rPr>
          <w:b/>
          <w:bCs/>
        </w:rPr>
        <w:t>Cesación de los efectos de la resolución impugnada</w:t>
      </w:r>
    </w:p>
    <w:p w14:paraId="43CBB701" w14:textId="6CCA49F3" w:rsidR="002B7182" w:rsidRDefault="002B7182" w:rsidP="002B7182">
      <w:pPr>
        <w:pStyle w:val="Prrafo"/>
        <w:numPr>
          <w:ilvl w:val="0"/>
          <w:numId w:val="6"/>
        </w:numPr>
        <w:ind w:left="0" w:hanging="567"/>
      </w:pPr>
      <w:r w:rsidRPr="002B7182">
        <w:t>En este caso resulta innecesario pronunciarse sobre la oportunidad y la legitimación de las partes, pues independientemente de que la demanda estuviera en tiempo</w:t>
      </w:r>
      <w:r w:rsidR="001D09FE">
        <w:t>,</w:t>
      </w:r>
      <w:r w:rsidRPr="002B7182">
        <w:t xml:space="preserve"> o de que hubiese sido presentada por un ente legitimado para promover controversias constitucionales, se actualiza la causa de improcedencia invocada por la parte demandada. Ello </w:t>
      </w:r>
      <w:r w:rsidR="001D09FE">
        <w:t>es razón suficiente para</w:t>
      </w:r>
      <w:r w:rsidRPr="002B7182">
        <w:t xml:space="preserve"> </w:t>
      </w:r>
      <w:r w:rsidR="001D09FE">
        <w:t>que</w:t>
      </w:r>
      <w:r w:rsidRPr="002B7182">
        <w:t xml:space="preserve"> la Segunda Sala</w:t>
      </w:r>
      <w:r w:rsidR="001D09FE">
        <w:t xml:space="preserve"> se encuentre impedida para</w:t>
      </w:r>
      <w:r w:rsidRPr="002B7182">
        <w:t xml:space="preserve"> emitir un pronunciamiento de fondo en </w:t>
      </w:r>
      <w:r w:rsidR="001D09FE">
        <w:t>est</w:t>
      </w:r>
      <w:r w:rsidRPr="002B7182">
        <w:t>a controversia constitucional.</w:t>
      </w:r>
    </w:p>
    <w:p w14:paraId="1A299C18" w14:textId="7CC7EF4D" w:rsidR="002B7182" w:rsidRDefault="002B7182" w:rsidP="002B7182">
      <w:pPr>
        <w:pStyle w:val="Prrafo"/>
        <w:numPr>
          <w:ilvl w:val="0"/>
          <w:numId w:val="6"/>
        </w:numPr>
        <w:ind w:left="0" w:hanging="567"/>
      </w:pPr>
      <w:r w:rsidRPr="002B7182">
        <w:t xml:space="preserve">Concretamente, el Tribunal Estatal Electoral de Nayarit alega que han cesado los efectos de la </w:t>
      </w:r>
      <w:r w:rsidRPr="002B7182">
        <w:rPr>
          <w:bCs/>
        </w:rPr>
        <w:t xml:space="preserve">resolución dictada en el </w:t>
      </w:r>
      <w:r w:rsidRPr="002B7182">
        <w:t>juicio para la protección de los derechos político-electorales del ciudadano nayarita TEE-JDCN-106/2021</w:t>
      </w:r>
      <w:r w:rsidRPr="002B7182">
        <w:rPr>
          <w:bCs/>
        </w:rPr>
        <w:t>, en términos de</w:t>
      </w:r>
      <w:r w:rsidRPr="002B7182">
        <w:t>l artículo 19, fracción V, de la Ley Reglamentaria</w:t>
      </w:r>
      <w:r w:rsidRPr="00D6523D">
        <w:rPr>
          <w:rStyle w:val="Refdenotaalpie"/>
        </w:rPr>
        <w:footnoteReference w:id="25"/>
      </w:r>
      <w:r w:rsidRPr="002B7182">
        <w:t xml:space="preserve">. </w:t>
      </w:r>
    </w:p>
    <w:p w14:paraId="05B5CDC2" w14:textId="77777777" w:rsidR="002B7182" w:rsidRDefault="002B7182" w:rsidP="002B7182">
      <w:pPr>
        <w:pStyle w:val="Prrafo"/>
        <w:numPr>
          <w:ilvl w:val="0"/>
          <w:numId w:val="6"/>
        </w:numPr>
        <w:ind w:left="0" w:hanging="567"/>
      </w:pPr>
      <w:r w:rsidRPr="002B7182">
        <w:lastRenderedPageBreak/>
        <w:t>El Tribunal Pleno ha sostenido que las condiciones que deben verificarse para que la cesación de efectos tenga lugar en controversias constitucionales son distintas a las que deben actualizarse en los juicios de amparo. En estos últimos no basta con que la autoridad responsable derogue o revoque el acto reclamado, sino que es necesario que sus efectos queden destruidos de manera absoluta, completa e incondicional, como si se hubiere otorgado la protección constitucional. En cambio, el estándar en controversias constitucionales se limita a que dejen de producirse los efectos de la norma general o del acto que se impugnó. La razón de esta distinción descansa, fundamentalmente, en que las sentencias que se dicten en controversias constitucionales no pueden tener efectos retroactivos salvo en materia penal</w:t>
      </w:r>
      <w:r>
        <w:rPr>
          <w:rStyle w:val="Refdenotaalpie"/>
        </w:rPr>
        <w:footnoteReference w:id="26"/>
      </w:r>
      <w:r w:rsidRPr="002B7182">
        <w:t>.</w:t>
      </w:r>
    </w:p>
    <w:p w14:paraId="0FFE0FEF" w14:textId="060F6245" w:rsidR="002B7182" w:rsidRPr="002B7182" w:rsidRDefault="002B7182" w:rsidP="002B7182">
      <w:pPr>
        <w:pStyle w:val="Prrafo"/>
        <w:numPr>
          <w:ilvl w:val="0"/>
          <w:numId w:val="6"/>
        </w:numPr>
        <w:ind w:left="0" w:hanging="567"/>
      </w:pPr>
      <w:r w:rsidRPr="002B7182">
        <w:t xml:space="preserve">En el caso que nos ocupa, la resolución impugnada ya no puede surtir </w:t>
      </w:r>
      <w:r w:rsidR="00B3620A">
        <w:t>al</w:t>
      </w:r>
      <w:r w:rsidRPr="002B7182">
        <w:t>gún efecto</w:t>
      </w:r>
      <w:r w:rsidR="00B3620A">
        <w:t>.</w:t>
      </w:r>
      <w:r w:rsidRPr="002B7182">
        <w:t xml:space="preserve"> </w:t>
      </w:r>
      <w:r w:rsidR="00B3620A">
        <w:t>P</w:t>
      </w:r>
      <w:r w:rsidR="00FD2E18" w:rsidRPr="002B7182">
        <w:t xml:space="preserve">or una parte, </w:t>
      </w:r>
      <w:r w:rsidR="00E96318" w:rsidRPr="002B7182">
        <w:t>c</w:t>
      </w:r>
      <w:r w:rsidR="00E96318" w:rsidRPr="002B7182">
        <w:rPr>
          <w:bCs/>
        </w:rPr>
        <w:t>omo fue precisado con anterioridad (</w:t>
      </w:r>
      <w:r w:rsidR="00E96318" w:rsidRPr="002B7182">
        <w:rPr>
          <w:bCs/>
          <w:i/>
          <w:iCs/>
        </w:rPr>
        <w:t>supra</w:t>
      </w:r>
      <w:r w:rsidR="00E96318" w:rsidRPr="002B7182">
        <w:rPr>
          <w:bCs/>
        </w:rPr>
        <w:t xml:space="preserve"> párr. </w:t>
      </w:r>
      <w:r w:rsidR="00E96318">
        <w:rPr>
          <w:bCs/>
        </w:rPr>
        <w:t>8</w:t>
      </w:r>
      <w:r w:rsidR="00E96318" w:rsidRPr="002B7182">
        <w:rPr>
          <w:bCs/>
        </w:rPr>
        <w:t>),</w:t>
      </w:r>
      <w:r w:rsidR="00E96318" w:rsidRPr="002B7182">
        <w:t xml:space="preserve"> </w:t>
      </w:r>
      <w:r w:rsidRPr="002B7182">
        <w:t>e</w:t>
      </w:r>
      <w:r w:rsidRPr="002B7182">
        <w:rPr>
          <w:bCs/>
        </w:rPr>
        <w:t>l diez de noviembre de dos mil veintiuno el Pleno de la Sala Regional Guadalajara del Tribunal Electoral del Poder Judicial de la Federación revoc</w:t>
      </w:r>
      <w:r w:rsidR="00BB7CC0">
        <w:rPr>
          <w:bCs/>
        </w:rPr>
        <w:t>ó</w:t>
      </w:r>
      <w:r w:rsidRPr="002B7182">
        <w:rPr>
          <w:bCs/>
        </w:rPr>
        <w:t xml:space="preserve"> la resolución del </w:t>
      </w:r>
      <w:r w:rsidRPr="002B7182">
        <w:t>juicio para la protección de los derechos político-electorales del ciudadano nayarita TEE-JDCN-106/2021</w:t>
      </w:r>
      <w:r w:rsidR="00B3620A">
        <w:t>.</w:t>
      </w:r>
      <w:r w:rsidRPr="002B7182">
        <w:t xml:space="preserve"> </w:t>
      </w:r>
      <w:r w:rsidR="00B3620A">
        <w:t>P</w:t>
      </w:r>
      <w:r w:rsidRPr="002B7182">
        <w:t>or otra</w:t>
      </w:r>
      <w:r w:rsidR="00B3620A">
        <w:t xml:space="preserve"> parte</w:t>
      </w:r>
      <w:r w:rsidRPr="002B7182">
        <w:t>, dicha resolución adquirió firmeza</w:t>
      </w:r>
      <w:r w:rsidR="00E96318" w:rsidRPr="002B7182">
        <w:rPr>
          <w:bCs/>
        </w:rPr>
        <w:t xml:space="preserve"> (</w:t>
      </w:r>
      <w:r w:rsidR="00E96318" w:rsidRPr="002B7182">
        <w:rPr>
          <w:bCs/>
          <w:i/>
          <w:iCs/>
        </w:rPr>
        <w:t>supra</w:t>
      </w:r>
      <w:r w:rsidR="00E96318" w:rsidRPr="002B7182">
        <w:rPr>
          <w:bCs/>
        </w:rPr>
        <w:t xml:space="preserve"> párr.</w:t>
      </w:r>
      <w:r w:rsidR="00E96318">
        <w:rPr>
          <w:bCs/>
        </w:rPr>
        <w:t>11</w:t>
      </w:r>
      <w:r w:rsidR="00E96318" w:rsidRPr="002B7182">
        <w:rPr>
          <w:bCs/>
        </w:rPr>
        <w:t>)</w:t>
      </w:r>
      <w:r w:rsidRPr="002B7182">
        <w:rPr>
          <w:bCs/>
        </w:rPr>
        <w:t>.</w:t>
      </w:r>
    </w:p>
    <w:p w14:paraId="3B3C6254" w14:textId="7F058700" w:rsidR="002B7182" w:rsidRDefault="002B7182" w:rsidP="002B7182">
      <w:pPr>
        <w:pStyle w:val="Prrafo"/>
        <w:numPr>
          <w:ilvl w:val="0"/>
          <w:numId w:val="6"/>
        </w:numPr>
        <w:ind w:left="0" w:hanging="567"/>
      </w:pPr>
      <w:r w:rsidRPr="002B7182">
        <w:t>Por lo tanto, aunque se estudiara el fondo del asunto y se declarara la eventual invalidez del acto impugnado, la sentencia no podría surtir efectos, dado que la resolución impugnada fue revocada mediante resolución firme y, como ya fue expuesto, las sentencias dictadas en controversias constitucionales no pueden tener efectos retroactivos salvo en materia penal</w:t>
      </w:r>
      <w:r w:rsidR="004847C2">
        <w:t>.</w:t>
      </w:r>
      <w:r w:rsidRPr="002B7182">
        <w:t xml:space="preserve"> </w:t>
      </w:r>
      <w:r w:rsidR="004847C2">
        <w:t>Claramente</w:t>
      </w:r>
      <w:r w:rsidRPr="002B7182">
        <w:t xml:space="preserve"> no es el caso.</w:t>
      </w:r>
    </w:p>
    <w:p w14:paraId="5971B9A3" w14:textId="7227894D" w:rsidR="002B7182" w:rsidRDefault="002B7182" w:rsidP="002B7182">
      <w:pPr>
        <w:pStyle w:val="Prrafo"/>
        <w:numPr>
          <w:ilvl w:val="0"/>
          <w:numId w:val="6"/>
        </w:numPr>
        <w:ind w:left="0" w:hanging="567"/>
      </w:pPr>
      <w:r w:rsidRPr="002B7182">
        <w:t>En consecuencia, al actualizarse la causa de improcedencia prevista en la fracción V del artículo 19 de la Ley Reglamentaria</w:t>
      </w:r>
      <w:r w:rsidR="00584620">
        <w:rPr>
          <w:rStyle w:val="Refdenotaalpie"/>
        </w:rPr>
        <w:footnoteReference w:id="27"/>
      </w:r>
      <w:r w:rsidRPr="002B7182">
        <w:t xml:space="preserve">, con fundamento en la </w:t>
      </w:r>
      <w:r w:rsidRPr="002B7182">
        <w:lastRenderedPageBreak/>
        <w:t>fracción II del artículo 20 de la propia ley</w:t>
      </w:r>
      <w:r w:rsidRPr="00D6523D">
        <w:rPr>
          <w:rStyle w:val="Refdenotaalpie"/>
        </w:rPr>
        <w:footnoteReference w:id="28"/>
      </w:r>
      <w:r w:rsidRPr="002B7182">
        <w:t>, se debe sobreseer en el presente juicio</w:t>
      </w:r>
      <w:r w:rsidR="00804F2F">
        <w:rPr>
          <w:rStyle w:val="Refdenotaalpie"/>
        </w:rPr>
        <w:footnoteReference w:id="29"/>
      </w:r>
      <w:r w:rsidRPr="002B7182">
        <w:t>.</w:t>
      </w:r>
    </w:p>
    <w:p w14:paraId="533EE28F" w14:textId="392774AC" w:rsidR="002B7182" w:rsidRPr="00300C99" w:rsidRDefault="002B7182" w:rsidP="002B7182">
      <w:pPr>
        <w:pStyle w:val="Prrafo"/>
        <w:numPr>
          <w:ilvl w:val="0"/>
          <w:numId w:val="6"/>
        </w:numPr>
        <w:ind w:left="0" w:hanging="567"/>
      </w:pPr>
      <w:r w:rsidRPr="002B7182">
        <w:t>De igual forma, el</w:t>
      </w:r>
      <w:r w:rsidRPr="002B7182">
        <w:rPr>
          <w:bCs/>
        </w:rPr>
        <w:t xml:space="preserve"> sobreseimiento decretado debe hacerse extensivo a los actos de ejecución que igualmente fueron impugnados, pues evidentemente no es posible ejecutar una resolución que ya no puede </w:t>
      </w:r>
      <w:r w:rsidRPr="002B7182">
        <w:t xml:space="preserve">surtir ningún efecto.  </w:t>
      </w:r>
      <w:bookmarkStart w:id="1" w:name="_Hlk77066971"/>
    </w:p>
    <w:p w14:paraId="63B7E4C8" w14:textId="5ADB4258" w:rsidR="00BC6F91" w:rsidRDefault="0043167C" w:rsidP="004847C2">
      <w:pPr>
        <w:pStyle w:val="Prrafo"/>
        <w:numPr>
          <w:ilvl w:val="0"/>
          <w:numId w:val="6"/>
        </w:numPr>
        <w:ind w:left="0" w:hanging="567"/>
      </w:pPr>
      <w:r w:rsidRPr="0043167C">
        <w:t xml:space="preserve">Estas consideraciones son obligatorias al haberse aprobado por </w:t>
      </w:r>
      <w:bookmarkEnd w:id="1"/>
      <w:r w:rsidR="00731DE9">
        <w:t xml:space="preserve">unanimidad de cinco votos. </w:t>
      </w:r>
    </w:p>
    <w:p w14:paraId="465B513F" w14:textId="77777777" w:rsidR="00F15FD9" w:rsidRPr="00300C99" w:rsidRDefault="00F15FD9" w:rsidP="003F4CAB">
      <w:pPr>
        <w:pStyle w:val="Ttulo3"/>
        <w:ind w:left="0" w:firstLine="0"/>
      </w:pPr>
      <w:r w:rsidRPr="00300C99">
        <w:t>DECISIÓN</w:t>
      </w:r>
    </w:p>
    <w:p w14:paraId="3848A9A4" w14:textId="3D8C0912" w:rsidR="00F15FD9" w:rsidRPr="00300C99" w:rsidRDefault="00F15FD9" w:rsidP="0075137E">
      <w:pPr>
        <w:pStyle w:val="Prrafo"/>
        <w:numPr>
          <w:ilvl w:val="0"/>
          <w:numId w:val="6"/>
        </w:numPr>
        <w:spacing w:before="0" w:after="360"/>
        <w:ind w:left="0" w:hanging="567"/>
      </w:pPr>
      <w:r w:rsidRPr="00300C99">
        <w:t xml:space="preserve">Por lo antes expuesto, </w:t>
      </w:r>
      <w:r w:rsidR="004A2041">
        <w:t>la Segunda Sala</w:t>
      </w:r>
      <w:r w:rsidRPr="00300C99">
        <w:t xml:space="preserve"> de la Suprema Corte de Justicia de la Nación resuelve:</w:t>
      </w:r>
    </w:p>
    <w:p w14:paraId="70A15C77" w14:textId="640E440E" w:rsidR="00F15FD9" w:rsidRPr="00300C99" w:rsidRDefault="002B7182" w:rsidP="002B7182">
      <w:pPr>
        <w:pStyle w:val="Prrafo"/>
        <w:ind w:firstLine="708"/>
      </w:pPr>
      <w:r>
        <w:rPr>
          <w:b/>
        </w:rPr>
        <w:t>ÚNICO</w:t>
      </w:r>
      <w:r w:rsidR="00F15FD9" w:rsidRPr="00300C99">
        <w:rPr>
          <w:b/>
        </w:rPr>
        <w:t>.</w:t>
      </w:r>
      <w:r w:rsidR="00F15FD9" w:rsidRPr="00300C99">
        <w:t xml:space="preserve"> </w:t>
      </w:r>
      <w:bookmarkStart w:id="2" w:name="_Hlk64367249"/>
      <w:r w:rsidR="003A0A42">
        <w:t xml:space="preserve">Se </w:t>
      </w:r>
      <w:r w:rsidR="003A0A42" w:rsidRPr="0075137E">
        <w:rPr>
          <w:b/>
          <w:bCs/>
        </w:rPr>
        <w:t>sobresee</w:t>
      </w:r>
      <w:r w:rsidR="00F15FD9" w:rsidRPr="00300C99">
        <w:rPr>
          <w:b/>
          <w:bCs/>
        </w:rPr>
        <w:t xml:space="preserve"> </w:t>
      </w:r>
      <w:r w:rsidR="00877D1A" w:rsidRPr="00877D1A">
        <w:t xml:space="preserve">en </w:t>
      </w:r>
      <w:r w:rsidR="00F15FD9" w:rsidRPr="00300C99">
        <w:t xml:space="preserve">la </w:t>
      </w:r>
      <w:r w:rsidR="001D34D0">
        <w:t>controversia constitucional.</w:t>
      </w:r>
    </w:p>
    <w:bookmarkEnd w:id="2"/>
    <w:p w14:paraId="33663155" w14:textId="77777777" w:rsidR="00206DA4" w:rsidRPr="00544355" w:rsidRDefault="00206DA4" w:rsidP="00206DA4">
      <w:pPr>
        <w:rPr>
          <w:b/>
          <w:bCs/>
          <w:sz w:val="26"/>
          <w:szCs w:val="26"/>
        </w:rPr>
      </w:pPr>
      <w:r w:rsidRPr="00544355">
        <w:rPr>
          <w:b/>
          <w:bCs/>
          <w:sz w:val="26"/>
          <w:szCs w:val="26"/>
        </w:rPr>
        <w:t>Notifíquese; haciéndolo por oficio a las partes</w:t>
      </w:r>
      <w:r>
        <w:rPr>
          <w:b/>
          <w:bCs/>
          <w:sz w:val="26"/>
          <w:szCs w:val="26"/>
        </w:rPr>
        <w:t>,</w:t>
      </w:r>
      <w:r w:rsidRPr="00544355">
        <w:rPr>
          <w:b/>
          <w:bCs/>
          <w:sz w:val="26"/>
          <w:szCs w:val="26"/>
        </w:rPr>
        <w:t xml:space="preserve"> y en su oportunidad devuélvase el expediente a la Sección de Trámite de Controversias Constitucionales y de Acciones de Inconstitucionalidad para los efectos legales a que haya lugar.</w:t>
      </w:r>
    </w:p>
    <w:p w14:paraId="12361F57" w14:textId="0E640007" w:rsidR="006C12D0" w:rsidRPr="006C12D0" w:rsidRDefault="006C12D0" w:rsidP="006C12D0">
      <w:pPr>
        <w:spacing w:before="100" w:beforeAutospacing="1" w:line="360" w:lineRule="auto"/>
        <w:ind w:firstLine="708"/>
        <w:rPr>
          <w:sz w:val="26"/>
          <w:szCs w:val="26"/>
        </w:rPr>
      </w:pPr>
      <w:r w:rsidRPr="00877171">
        <w:rPr>
          <w:sz w:val="26"/>
          <w:szCs w:val="26"/>
        </w:rPr>
        <w:t xml:space="preserve">Así lo resolvió </w:t>
      </w:r>
      <w:r>
        <w:rPr>
          <w:sz w:val="26"/>
          <w:szCs w:val="26"/>
        </w:rPr>
        <w:t>la Segunda Sala</w:t>
      </w:r>
      <w:r w:rsidRPr="00877171">
        <w:rPr>
          <w:sz w:val="26"/>
          <w:szCs w:val="26"/>
        </w:rPr>
        <w:t xml:space="preserve"> de la Suprema Corte de Justicia de la Nación</w:t>
      </w:r>
      <w:r>
        <w:rPr>
          <w:sz w:val="26"/>
          <w:szCs w:val="26"/>
        </w:rPr>
        <w:t xml:space="preserve"> por unanimidad de cinco votos de los </w:t>
      </w:r>
      <w:r w:rsidR="00A43D19">
        <w:rPr>
          <w:sz w:val="26"/>
          <w:szCs w:val="26"/>
        </w:rPr>
        <w:t>m</w:t>
      </w:r>
      <w:r>
        <w:rPr>
          <w:sz w:val="26"/>
          <w:szCs w:val="26"/>
        </w:rPr>
        <w:t xml:space="preserve">inistros Alberto </w:t>
      </w:r>
      <w:r w:rsidRPr="00B51C14">
        <w:rPr>
          <w:sz w:val="26"/>
          <w:szCs w:val="26"/>
        </w:rPr>
        <w:t xml:space="preserve">Pérez Dayán, Luis María Aguilar Morales, </w:t>
      </w:r>
      <w:r>
        <w:rPr>
          <w:sz w:val="26"/>
          <w:szCs w:val="26"/>
        </w:rPr>
        <w:t>Loretta Ortiz Ahlf</w:t>
      </w:r>
      <w:r w:rsidRPr="00B51C14">
        <w:rPr>
          <w:sz w:val="26"/>
          <w:szCs w:val="26"/>
        </w:rPr>
        <w:t xml:space="preserve">, Javier Laynez Potisek (ponente) y </w:t>
      </w:r>
      <w:proofErr w:type="gramStart"/>
      <w:r w:rsidRPr="00B51C14">
        <w:rPr>
          <w:sz w:val="26"/>
          <w:szCs w:val="26"/>
        </w:rPr>
        <w:t>Presidenta</w:t>
      </w:r>
      <w:proofErr w:type="gramEnd"/>
      <w:r w:rsidRPr="00B51C14">
        <w:rPr>
          <w:sz w:val="26"/>
          <w:szCs w:val="26"/>
        </w:rPr>
        <w:t xml:space="preserve"> Yasmín Esquivel </w:t>
      </w:r>
      <w:proofErr w:type="spellStart"/>
      <w:r w:rsidRPr="00B51C14">
        <w:rPr>
          <w:sz w:val="26"/>
          <w:szCs w:val="26"/>
        </w:rPr>
        <w:t>Moss</w:t>
      </w:r>
      <w:r>
        <w:rPr>
          <w:sz w:val="26"/>
          <w:szCs w:val="26"/>
        </w:rPr>
        <w:t>a</w:t>
      </w:r>
      <w:proofErr w:type="spellEnd"/>
      <w:r>
        <w:rPr>
          <w:sz w:val="26"/>
          <w:szCs w:val="26"/>
        </w:rPr>
        <w:t xml:space="preserve">. </w:t>
      </w:r>
    </w:p>
    <w:p w14:paraId="2C0C2390" w14:textId="77777777" w:rsidR="00C53374" w:rsidRPr="00300C99" w:rsidRDefault="00C53374" w:rsidP="00F15FD9">
      <w:pPr>
        <w:pStyle w:val="Prrafo"/>
      </w:pPr>
    </w:p>
    <w:p w14:paraId="00D30C27" w14:textId="3D5AF53B" w:rsidR="00375CF3" w:rsidRPr="00375CF3" w:rsidRDefault="00375CF3" w:rsidP="00375CF3">
      <w:pPr>
        <w:pStyle w:val="Textoindependiente"/>
        <w:spacing w:before="155" w:line="360" w:lineRule="auto"/>
        <w:ind w:left="0" w:right="103" w:hanging="1"/>
        <w:jc w:val="both"/>
        <w:rPr>
          <w:spacing w:val="38"/>
        </w:rPr>
      </w:pPr>
      <w:proofErr w:type="spellStart"/>
      <w:r w:rsidRPr="00B51C14">
        <w:rPr>
          <w:rFonts w:cs="Arial"/>
        </w:rPr>
        <w:t>Firman</w:t>
      </w:r>
      <w:proofErr w:type="spellEnd"/>
      <w:r w:rsidRPr="00B51C14">
        <w:rPr>
          <w:rFonts w:cs="Arial"/>
        </w:rPr>
        <w:t xml:space="preserve"> la </w:t>
      </w:r>
      <w:proofErr w:type="spellStart"/>
      <w:r w:rsidRPr="00B51C14">
        <w:rPr>
          <w:rFonts w:cs="Arial"/>
        </w:rPr>
        <w:t>ministra</w:t>
      </w:r>
      <w:proofErr w:type="spellEnd"/>
      <w:r w:rsidRPr="00B51C14">
        <w:rPr>
          <w:rFonts w:cs="Arial"/>
        </w:rPr>
        <w:t xml:space="preserve"> </w:t>
      </w:r>
      <w:proofErr w:type="spellStart"/>
      <w:r w:rsidRPr="00B51C14">
        <w:rPr>
          <w:rFonts w:cs="Arial"/>
        </w:rPr>
        <w:t>Presidenta</w:t>
      </w:r>
      <w:proofErr w:type="spellEnd"/>
      <w:r w:rsidRPr="00B51C14">
        <w:rPr>
          <w:rFonts w:cs="Arial"/>
        </w:rPr>
        <w:t xml:space="preserve"> de la Segunda Sala y el ministro ponente, con la Secretaria de Acuerdos, quien autoriza y da fe.</w:t>
      </w:r>
    </w:p>
    <w:p w14:paraId="1E4C3BE5" w14:textId="0989971E" w:rsidR="00375CF3" w:rsidRDefault="00375CF3" w:rsidP="00375CF3">
      <w:pPr>
        <w:rPr>
          <w:sz w:val="26"/>
          <w:szCs w:val="26"/>
        </w:rPr>
      </w:pPr>
    </w:p>
    <w:p w14:paraId="7E7703A1" w14:textId="77777777" w:rsidR="008718EA" w:rsidRDefault="008718EA" w:rsidP="00375CF3">
      <w:pPr>
        <w:rPr>
          <w:b/>
          <w:sz w:val="28"/>
          <w:szCs w:val="28"/>
        </w:rPr>
      </w:pPr>
    </w:p>
    <w:p w14:paraId="6DA28FFD" w14:textId="77777777" w:rsidR="00375CF3" w:rsidRDefault="00375CF3" w:rsidP="00375CF3">
      <w:pPr>
        <w:jc w:val="center"/>
        <w:rPr>
          <w:b/>
          <w:sz w:val="28"/>
          <w:szCs w:val="28"/>
        </w:rPr>
      </w:pPr>
      <w:r>
        <w:rPr>
          <w:b/>
          <w:sz w:val="28"/>
          <w:szCs w:val="28"/>
        </w:rPr>
        <w:t xml:space="preserve">PRESIDENTA DE LA SEGUNDA SALA </w:t>
      </w:r>
    </w:p>
    <w:p w14:paraId="107AC7E9" w14:textId="77777777" w:rsidR="00375CF3" w:rsidRDefault="00375CF3" w:rsidP="00375CF3">
      <w:pPr>
        <w:jc w:val="center"/>
        <w:rPr>
          <w:b/>
          <w:sz w:val="28"/>
          <w:szCs w:val="28"/>
        </w:rPr>
      </w:pPr>
    </w:p>
    <w:p w14:paraId="5153F7CE" w14:textId="2A52C41E" w:rsidR="00375CF3" w:rsidRDefault="00375CF3" w:rsidP="00375CF3">
      <w:pPr>
        <w:jc w:val="center"/>
        <w:rPr>
          <w:b/>
          <w:sz w:val="28"/>
          <w:szCs w:val="28"/>
        </w:rPr>
      </w:pPr>
    </w:p>
    <w:p w14:paraId="443A7C1A" w14:textId="77777777" w:rsidR="008718EA" w:rsidRDefault="008718EA" w:rsidP="00375CF3">
      <w:pPr>
        <w:jc w:val="center"/>
        <w:rPr>
          <w:b/>
          <w:sz w:val="28"/>
          <w:szCs w:val="28"/>
        </w:rPr>
      </w:pPr>
    </w:p>
    <w:p w14:paraId="19EB68F3" w14:textId="77777777" w:rsidR="00375CF3" w:rsidRDefault="00375CF3" w:rsidP="00375CF3">
      <w:pPr>
        <w:jc w:val="center"/>
        <w:rPr>
          <w:b/>
          <w:sz w:val="28"/>
          <w:szCs w:val="28"/>
        </w:rPr>
      </w:pPr>
    </w:p>
    <w:p w14:paraId="7725FE54" w14:textId="77777777" w:rsidR="00375CF3" w:rsidRDefault="00375CF3" w:rsidP="00375CF3">
      <w:pPr>
        <w:jc w:val="center"/>
        <w:rPr>
          <w:b/>
          <w:sz w:val="28"/>
          <w:szCs w:val="28"/>
        </w:rPr>
      </w:pPr>
      <w:r>
        <w:rPr>
          <w:b/>
          <w:sz w:val="28"/>
          <w:szCs w:val="28"/>
        </w:rPr>
        <w:t>MINISTRA YASMÍN ESQUIVEL MOSSA</w:t>
      </w:r>
    </w:p>
    <w:p w14:paraId="079AC45F" w14:textId="77777777" w:rsidR="00375CF3" w:rsidRDefault="00375CF3" w:rsidP="00375CF3">
      <w:pPr>
        <w:jc w:val="center"/>
        <w:rPr>
          <w:b/>
          <w:sz w:val="28"/>
          <w:szCs w:val="28"/>
        </w:rPr>
      </w:pPr>
    </w:p>
    <w:p w14:paraId="576C1AB2" w14:textId="77777777" w:rsidR="00375CF3" w:rsidRDefault="00375CF3" w:rsidP="00375CF3">
      <w:pPr>
        <w:jc w:val="center"/>
        <w:rPr>
          <w:b/>
          <w:sz w:val="28"/>
          <w:szCs w:val="28"/>
        </w:rPr>
      </w:pPr>
    </w:p>
    <w:p w14:paraId="4306E8AC" w14:textId="77777777" w:rsidR="00375CF3" w:rsidRDefault="00375CF3" w:rsidP="008718EA">
      <w:pPr>
        <w:rPr>
          <w:b/>
          <w:sz w:val="28"/>
          <w:szCs w:val="28"/>
        </w:rPr>
      </w:pPr>
    </w:p>
    <w:p w14:paraId="7B18F296" w14:textId="77777777" w:rsidR="00375CF3" w:rsidRDefault="00375CF3" w:rsidP="00375CF3">
      <w:pPr>
        <w:jc w:val="center"/>
        <w:rPr>
          <w:b/>
          <w:sz w:val="28"/>
          <w:szCs w:val="28"/>
        </w:rPr>
      </w:pPr>
      <w:r>
        <w:rPr>
          <w:b/>
          <w:sz w:val="28"/>
          <w:szCs w:val="28"/>
        </w:rPr>
        <w:t>PONENTE</w:t>
      </w:r>
    </w:p>
    <w:p w14:paraId="071F581C" w14:textId="77777777" w:rsidR="00375CF3" w:rsidRDefault="00375CF3" w:rsidP="00375CF3">
      <w:pPr>
        <w:jc w:val="center"/>
        <w:rPr>
          <w:b/>
          <w:sz w:val="28"/>
          <w:szCs w:val="28"/>
        </w:rPr>
      </w:pPr>
    </w:p>
    <w:p w14:paraId="5883E823" w14:textId="77777777" w:rsidR="00375CF3" w:rsidRDefault="00375CF3" w:rsidP="00375CF3">
      <w:pPr>
        <w:jc w:val="center"/>
        <w:rPr>
          <w:b/>
          <w:sz w:val="28"/>
          <w:szCs w:val="28"/>
        </w:rPr>
      </w:pPr>
    </w:p>
    <w:p w14:paraId="51667C15" w14:textId="77777777" w:rsidR="008718EA" w:rsidRDefault="008718EA" w:rsidP="00375CF3">
      <w:pPr>
        <w:jc w:val="center"/>
        <w:rPr>
          <w:b/>
          <w:sz w:val="28"/>
          <w:szCs w:val="28"/>
        </w:rPr>
      </w:pPr>
    </w:p>
    <w:p w14:paraId="29DFD4E2" w14:textId="77777777" w:rsidR="00375CF3" w:rsidRDefault="00375CF3" w:rsidP="00375CF3">
      <w:pPr>
        <w:jc w:val="center"/>
        <w:rPr>
          <w:b/>
          <w:sz w:val="28"/>
          <w:szCs w:val="28"/>
        </w:rPr>
      </w:pPr>
      <w:r>
        <w:rPr>
          <w:b/>
          <w:sz w:val="28"/>
          <w:szCs w:val="28"/>
        </w:rPr>
        <w:t>MINISTRO JAVIER LAYNEZ POTISEK</w:t>
      </w:r>
    </w:p>
    <w:p w14:paraId="0AF6A697" w14:textId="77777777" w:rsidR="00375CF3" w:rsidRDefault="00375CF3" w:rsidP="00375CF3">
      <w:pPr>
        <w:jc w:val="center"/>
        <w:rPr>
          <w:b/>
          <w:sz w:val="28"/>
          <w:szCs w:val="28"/>
        </w:rPr>
      </w:pPr>
    </w:p>
    <w:p w14:paraId="3361A315" w14:textId="77777777" w:rsidR="00375CF3" w:rsidRDefault="00375CF3" w:rsidP="00375CF3">
      <w:pPr>
        <w:jc w:val="center"/>
        <w:rPr>
          <w:b/>
          <w:sz w:val="28"/>
          <w:szCs w:val="28"/>
        </w:rPr>
      </w:pPr>
    </w:p>
    <w:p w14:paraId="5780E585" w14:textId="59399F89" w:rsidR="00375CF3" w:rsidRDefault="00375CF3" w:rsidP="00375CF3">
      <w:pPr>
        <w:jc w:val="center"/>
        <w:rPr>
          <w:b/>
          <w:sz w:val="28"/>
          <w:szCs w:val="28"/>
        </w:rPr>
      </w:pPr>
    </w:p>
    <w:p w14:paraId="12AA388B" w14:textId="77777777" w:rsidR="00DA2165" w:rsidRDefault="00DA2165" w:rsidP="00375CF3">
      <w:pPr>
        <w:jc w:val="center"/>
        <w:rPr>
          <w:b/>
          <w:sz w:val="28"/>
          <w:szCs w:val="28"/>
        </w:rPr>
      </w:pPr>
    </w:p>
    <w:p w14:paraId="06F1F14B" w14:textId="77777777" w:rsidR="00375CF3" w:rsidRDefault="00375CF3" w:rsidP="00375CF3">
      <w:pPr>
        <w:jc w:val="center"/>
        <w:rPr>
          <w:b/>
          <w:sz w:val="28"/>
          <w:szCs w:val="28"/>
        </w:rPr>
      </w:pPr>
      <w:r>
        <w:rPr>
          <w:b/>
          <w:sz w:val="28"/>
          <w:szCs w:val="28"/>
        </w:rPr>
        <w:t>SECRETARIA DE ACUERDOS DE LA SEGUNDA SALA</w:t>
      </w:r>
    </w:p>
    <w:p w14:paraId="0AC272C9" w14:textId="77777777" w:rsidR="00375CF3" w:rsidRDefault="00375CF3" w:rsidP="00375CF3">
      <w:pPr>
        <w:jc w:val="center"/>
        <w:rPr>
          <w:b/>
          <w:sz w:val="28"/>
          <w:szCs w:val="28"/>
        </w:rPr>
      </w:pPr>
    </w:p>
    <w:p w14:paraId="4D978DDC" w14:textId="36D33E5C" w:rsidR="00375CF3" w:rsidRDefault="00375CF3" w:rsidP="00375CF3">
      <w:pPr>
        <w:jc w:val="center"/>
        <w:rPr>
          <w:b/>
          <w:sz w:val="28"/>
          <w:szCs w:val="28"/>
        </w:rPr>
      </w:pPr>
    </w:p>
    <w:p w14:paraId="610C2776" w14:textId="12B7DD0C" w:rsidR="008718EA" w:rsidRDefault="008718EA" w:rsidP="00375CF3">
      <w:pPr>
        <w:jc w:val="center"/>
        <w:rPr>
          <w:b/>
          <w:sz w:val="28"/>
          <w:szCs w:val="28"/>
        </w:rPr>
      </w:pPr>
    </w:p>
    <w:p w14:paraId="32A7C28B" w14:textId="77777777" w:rsidR="008718EA" w:rsidRDefault="008718EA" w:rsidP="00375CF3">
      <w:pPr>
        <w:jc w:val="center"/>
        <w:rPr>
          <w:b/>
          <w:sz w:val="28"/>
          <w:szCs w:val="28"/>
        </w:rPr>
      </w:pPr>
    </w:p>
    <w:p w14:paraId="0422E57F" w14:textId="2BF277C7" w:rsidR="004247EF" w:rsidRDefault="00375CF3" w:rsidP="008718EA">
      <w:pPr>
        <w:jc w:val="center"/>
        <w:rPr>
          <w:b/>
          <w:sz w:val="28"/>
          <w:szCs w:val="28"/>
        </w:rPr>
      </w:pPr>
      <w:r>
        <w:rPr>
          <w:b/>
          <w:sz w:val="28"/>
          <w:szCs w:val="28"/>
        </w:rPr>
        <w:t>CLAUDIA MENDOZA POLANCO</w:t>
      </w:r>
    </w:p>
    <w:p w14:paraId="0FE9C51E" w14:textId="163BCFBD" w:rsidR="00206DA4" w:rsidRDefault="00206DA4" w:rsidP="008718EA">
      <w:pPr>
        <w:jc w:val="center"/>
        <w:rPr>
          <w:b/>
          <w:sz w:val="28"/>
          <w:szCs w:val="28"/>
        </w:rPr>
      </w:pPr>
    </w:p>
    <w:p w14:paraId="0F9D5636" w14:textId="22011336" w:rsidR="00206DA4" w:rsidRDefault="00206DA4" w:rsidP="008718EA">
      <w:pPr>
        <w:jc w:val="center"/>
        <w:rPr>
          <w:b/>
          <w:sz w:val="28"/>
          <w:szCs w:val="28"/>
        </w:rPr>
      </w:pPr>
    </w:p>
    <w:p w14:paraId="1E4ABDEF" w14:textId="34653FF5" w:rsidR="00206DA4" w:rsidRDefault="00206DA4" w:rsidP="008718EA">
      <w:pPr>
        <w:jc w:val="center"/>
        <w:rPr>
          <w:b/>
          <w:sz w:val="28"/>
          <w:szCs w:val="28"/>
        </w:rPr>
      </w:pPr>
    </w:p>
    <w:p w14:paraId="2B537472" w14:textId="3BA6F61B" w:rsidR="00206DA4" w:rsidRDefault="00206DA4" w:rsidP="008718EA">
      <w:pPr>
        <w:jc w:val="center"/>
        <w:rPr>
          <w:b/>
          <w:sz w:val="28"/>
          <w:szCs w:val="28"/>
        </w:rPr>
      </w:pPr>
    </w:p>
    <w:p w14:paraId="0F3C4899" w14:textId="47BC10A8" w:rsidR="00206DA4" w:rsidRPr="00206DA4" w:rsidRDefault="00206DA4" w:rsidP="00206DA4">
      <w:pPr>
        <w:pStyle w:val="Sinespaciado"/>
        <w:ind w:left="720"/>
        <w:rPr>
          <w:sz w:val="26"/>
          <w:szCs w:val="26"/>
        </w:rPr>
      </w:pPr>
      <w:r w:rsidRPr="009F3B75">
        <w:rPr>
          <w:sz w:val="26"/>
          <w:szCs w:val="26"/>
        </w:rPr>
        <w:t xml:space="preserve">Esta hoja corresponde a la </w:t>
      </w:r>
      <w:r>
        <w:rPr>
          <w:sz w:val="26"/>
          <w:szCs w:val="26"/>
        </w:rPr>
        <w:t>controversia constitucional</w:t>
      </w:r>
      <w:r w:rsidRPr="009F3B75">
        <w:rPr>
          <w:sz w:val="26"/>
          <w:szCs w:val="26"/>
        </w:rPr>
        <w:t xml:space="preserve"> 1</w:t>
      </w:r>
      <w:r>
        <w:rPr>
          <w:sz w:val="26"/>
          <w:szCs w:val="26"/>
        </w:rPr>
        <w:t>71</w:t>
      </w:r>
      <w:r w:rsidRPr="009F3B75">
        <w:rPr>
          <w:sz w:val="26"/>
          <w:szCs w:val="26"/>
        </w:rPr>
        <w:t>/202</w:t>
      </w:r>
      <w:r>
        <w:rPr>
          <w:sz w:val="26"/>
          <w:szCs w:val="26"/>
        </w:rPr>
        <w:t>1</w:t>
      </w:r>
      <w:r w:rsidRPr="009F3B75">
        <w:rPr>
          <w:sz w:val="26"/>
          <w:szCs w:val="26"/>
        </w:rPr>
        <w:t xml:space="preserve">, fallada en sesión de </w:t>
      </w:r>
      <w:r w:rsidRPr="00206DA4">
        <w:rPr>
          <w:sz w:val="26"/>
          <w:szCs w:val="26"/>
        </w:rPr>
        <w:t>veinticinco</w:t>
      </w:r>
      <w:r w:rsidRPr="00206DA4">
        <w:rPr>
          <w:sz w:val="26"/>
          <w:szCs w:val="26"/>
          <w:lang w:eastAsia="es-ES"/>
        </w:rPr>
        <w:t xml:space="preserve"> de mayo de dos mil veintidós</w:t>
      </w:r>
      <w:r w:rsidRPr="009F3B75">
        <w:rPr>
          <w:sz w:val="26"/>
          <w:szCs w:val="26"/>
        </w:rPr>
        <w:t xml:space="preserve">. </w:t>
      </w:r>
      <w:proofErr w:type="gramStart"/>
      <w:r w:rsidRPr="009F3B75">
        <w:rPr>
          <w:sz w:val="26"/>
          <w:szCs w:val="26"/>
        </w:rPr>
        <w:t>CONSTE.-</w:t>
      </w:r>
      <w:proofErr w:type="gramEnd"/>
    </w:p>
    <w:sectPr w:rsidR="00206DA4" w:rsidRPr="00206DA4" w:rsidSect="00C3648B">
      <w:pgSz w:w="12242" w:h="19442" w:code="10005"/>
      <w:pgMar w:top="2268" w:right="1469" w:bottom="1701" w:left="1701" w:header="1134" w:footer="172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5FAFA" w14:textId="77777777" w:rsidR="00F67171" w:rsidRDefault="00F67171" w:rsidP="00F15FD9">
      <w:pPr>
        <w:spacing w:before="0" w:after="0" w:line="240" w:lineRule="auto"/>
      </w:pPr>
      <w:r>
        <w:separator/>
      </w:r>
    </w:p>
  </w:endnote>
  <w:endnote w:type="continuationSeparator" w:id="0">
    <w:p w14:paraId="66A03459" w14:textId="77777777" w:rsidR="00F67171" w:rsidRDefault="00F67171" w:rsidP="00F15F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noProof/>
        <w:lang w:val="es-ES_tradnl" w:eastAsia="x-none"/>
      </w:rPr>
      <w:id w:val="-761922230"/>
      <w:docPartObj>
        <w:docPartGallery w:val="Page Numbers (Bottom of Page)"/>
        <w:docPartUnique/>
      </w:docPartObj>
    </w:sdtPr>
    <w:sdtEndPr/>
    <w:sdtContent>
      <w:p w14:paraId="757C37E0" w14:textId="77777777" w:rsidR="00A755E1" w:rsidRDefault="00A755E1" w:rsidP="00C3648B">
        <w:pPr>
          <w:pStyle w:val="Piedepgina"/>
          <w:tabs>
            <w:tab w:val="clear" w:pos="4419"/>
            <w:tab w:val="clear" w:pos="8838"/>
            <w:tab w:val="center" w:pos="4252"/>
            <w:tab w:val="right" w:pos="8504"/>
          </w:tabs>
          <w:jc w:val="center"/>
          <w:rPr>
            <w:rFonts w:eastAsia="Times New Roman"/>
            <w:noProof/>
            <w:lang w:val="es-ES_tradnl" w:eastAsia="x-none"/>
          </w:rPr>
        </w:pPr>
      </w:p>
      <w:p w14:paraId="397877E6" w14:textId="77777777" w:rsidR="00C3648B" w:rsidRPr="00690FE0" w:rsidRDefault="00D13E08" w:rsidP="00C3648B">
        <w:pPr>
          <w:pStyle w:val="Piedepgina"/>
          <w:tabs>
            <w:tab w:val="clear" w:pos="4419"/>
            <w:tab w:val="clear" w:pos="8838"/>
            <w:tab w:val="center" w:pos="4252"/>
            <w:tab w:val="right" w:pos="8504"/>
          </w:tabs>
          <w:jc w:val="center"/>
          <w:rPr>
            <w:rFonts w:eastAsia="Times New Roman"/>
            <w:noProof/>
            <w:lang w:val="es-ES_tradnl" w:eastAsia="x-none"/>
          </w:rPr>
        </w:pPr>
        <w:r w:rsidRPr="00690FE0">
          <w:rPr>
            <w:rFonts w:eastAsia="Times New Roman"/>
            <w:noProof/>
            <w:lang w:val="es-ES_tradnl" w:eastAsia="x-none"/>
          </w:rPr>
          <w:fldChar w:fldCharType="begin"/>
        </w:r>
        <w:r w:rsidRPr="00690FE0">
          <w:rPr>
            <w:rFonts w:eastAsia="Times New Roman"/>
            <w:noProof/>
            <w:lang w:val="es-ES_tradnl" w:eastAsia="x-none"/>
          </w:rPr>
          <w:instrText>PAGE   \* MERGEFORMAT</w:instrText>
        </w:r>
        <w:r w:rsidRPr="00690FE0">
          <w:rPr>
            <w:rFonts w:eastAsia="Times New Roman"/>
            <w:noProof/>
            <w:lang w:val="es-ES_tradnl" w:eastAsia="x-none"/>
          </w:rPr>
          <w:fldChar w:fldCharType="separate"/>
        </w:r>
        <w:r>
          <w:rPr>
            <w:rFonts w:eastAsia="Times New Roman"/>
            <w:noProof/>
            <w:lang w:val="es-ES_tradnl" w:eastAsia="x-none"/>
          </w:rPr>
          <w:t>44</w:t>
        </w:r>
        <w:r w:rsidRPr="00690FE0">
          <w:rPr>
            <w:rFonts w:eastAsia="Times New Roman"/>
            <w:noProof/>
            <w:lang w:val="es-ES_tradnl" w:eastAsia="x-non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67817" w14:textId="77777777" w:rsidR="00F67171" w:rsidRDefault="00F67171" w:rsidP="00F15FD9">
      <w:pPr>
        <w:spacing w:before="0" w:after="0" w:line="240" w:lineRule="auto"/>
      </w:pPr>
      <w:r>
        <w:separator/>
      </w:r>
    </w:p>
  </w:footnote>
  <w:footnote w:type="continuationSeparator" w:id="0">
    <w:p w14:paraId="1F3FFE98" w14:textId="77777777" w:rsidR="00F67171" w:rsidRDefault="00F67171" w:rsidP="00F15FD9">
      <w:pPr>
        <w:spacing w:before="0" w:after="0" w:line="240" w:lineRule="auto"/>
      </w:pPr>
      <w:r>
        <w:continuationSeparator/>
      </w:r>
    </w:p>
  </w:footnote>
  <w:footnote w:id="1">
    <w:p w14:paraId="259C50F6" w14:textId="77777777" w:rsidR="00B50CA8" w:rsidRPr="00036174" w:rsidRDefault="00B50CA8" w:rsidP="00B50CA8">
      <w:pPr>
        <w:pStyle w:val="Textonotapie"/>
        <w:rPr>
          <w:sz w:val="20"/>
          <w:szCs w:val="20"/>
        </w:rPr>
      </w:pPr>
      <w:r w:rsidRPr="00754C53">
        <w:rPr>
          <w:rStyle w:val="Refdenotaalpie"/>
          <w:sz w:val="20"/>
          <w:szCs w:val="20"/>
        </w:rPr>
        <w:footnoteRef/>
      </w:r>
      <w:r w:rsidRPr="00754C53">
        <w:rPr>
          <w:sz w:val="20"/>
          <w:szCs w:val="20"/>
        </w:rPr>
        <w:t xml:space="preserve"> Véase el expediente electrónico de la controversia constitucional 171/2021, anexos del escrito </w:t>
      </w:r>
      <w:r w:rsidRPr="00036174">
        <w:rPr>
          <w:sz w:val="20"/>
          <w:szCs w:val="20"/>
        </w:rPr>
        <w:t>inicial de demanda.</w:t>
      </w:r>
    </w:p>
  </w:footnote>
  <w:footnote w:id="2">
    <w:p w14:paraId="78DAB991" w14:textId="77777777" w:rsidR="00B50CA8" w:rsidRPr="008816EF" w:rsidRDefault="00B50CA8" w:rsidP="00B50CA8">
      <w:pPr>
        <w:pStyle w:val="Textonotapie"/>
        <w:rPr>
          <w:sz w:val="20"/>
          <w:szCs w:val="20"/>
        </w:rPr>
      </w:pPr>
      <w:r w:rsidRPr="008816EF">
        <w:rPr>
          <w:rStyle w:val="Refdenotaalpie"/>
          <w:sz w:val="20"/>
          <w:szCs w:val="20"/>
        </w:rPr>
        <w:footnoteRef/>
      </w:r>
      <w:r w:rsidRPr="008816EF">
        <w:rPr>
          <w:sz w:val="20"/>
          <w:szCs w:val="20"/>
        </w:rPr>
        <w:t xml:space="preserve"> </w:t>
      </w:r>
      <w:r w:rsidRPr="008816EF">
        <w:rPr>
          <w:i/>
          <w:iCs/>
          <w:sz w:val="20"/>
          <w:szCs w:val="20"/>
        </w:rPr>
        <w:t>Ibíd</w:t>
      </w:r>
      <w:r w:rsidRPr="008816EF">
        <w:rPr>
          <w:sz w:val="20"/>
          <w:szCs w:val="20"/>
        </w:rPr>
        <w:t>., anexos del escrito inicial de demanda.</w:t>
      </w:r>
    </w:p>
  </w:footnote>
  <w:footnote w:id="3">
    <w:p w14:paraId="7A0DE576" w14:textId="77777777" w:rsidR="00B50CA8" w:rsidRPr="008816EF" w:rsidRDefault="00B50CA8" w:rsidP="00B50CA8">
      <w:pPr>
        <w:pStyle w:val="Textonotapie"/>
        <w:rPr>
          <w:sz w:val="20"/>
          <w:szCs w:val="20"/>
        </w:rPr>
      </w:pPr>
      <w:r w:rsidRPr="008816EF">
        <w:rPr>
          <w:rStyle w:val="Refdenotaalpie"/>
          <w:sz w:val="20"/>
          <w:szCs w:val="20"/>
        </w:rPr>
        <w:footnoteRef/>
      </w:r>
      <w:r w:rsidRPr="008816EF">
        <w:rPr>
          <w:sz w:val="20"/>
          <w:szCs w:val="20"/>
        </w:rPr>
        <w:t xml:space="preserve"> </w:t>
      </w:r>
      <w:r w:rsidRPr="008816EF">
        <w:rPr>
          <w:i/>
          <w:iCs/>
          <w:sz w:val="20"/>
          <w:szCs w:val="20"/>
        </w:rPr>
        <w:t>Ibíd</w:t>
      </w:r>
      <w:r w:rsidRPr="008816EF">
        <w:rPr>
          <w:sz w:val="20"/>
          <w:szCs w:val="20"/>
        </w:rPr>
        <w:t>., anexos del escrito inicial de demanda.</w:t>
      </w:r>
    </w:p>
  </w:footnote>
  <w:footnote w:id="4">
    <w:p w14:paraId="0228CE64" w14:textId="77777777" w:rsidR="00B50CA8" w:rsidRPr="008816EF" w:rsidRDefault="00B50CA8" w:rsidP="00B50CA8">
      <w:pPr>
        <w:pStyle w:val="Textonotapie"/>
        <w:rPr>
          <w:sz w:val="20"/>
          <w:szCs w:val="20"/>
        </w:rPr>
      </w:pPr>
      <w:r w:rsidRPr="008816EF">
        <w:rPr>
          <w:rStyle w:val="Refdenotaalpie"/>
          <w:sz w:val="20"/>
          <w:szCs w:val="20"/>
        </w:rPr>
        <w:footnoteRef/>
      </w:r>
      <w:r w:rsidRPr="008816EF">
        <w:rPr>
          <w:sz w:val="20"/>
          <w:szCs w:val="20"/>
        </w:rPr>
        <w:t xml:space="preserve"> </w:t>
      </w:r>
      <w:r w:rsidRPr="008816EF">
        <w:rPr>
          <w:i/>
          <w:iCs/>
          <w:sz w:val="20"/>
          <w:szCs w:val="20"/>
        </w:rPr>
        <w:t>Ibíd</w:t>
      </w:r>
      <w:r w:rsidRPr="008816EF">
        <w:rPr>
          <w:sz w:val="20"/>
          <w:szCs w:val="20"/>
        </w:rPr>
        <w:t>., anexos del escrito inicial de demanda.</w:t>
      </w:r>
    </w:p>
  </w:footnote>
  <w:footnote w:id="5">
    <w:p w14:paraId="728282CE" w14:textId="77777777" w:rsidR="00B50CA8" w:rsidRPr="008816EF" w:rsidRDefault="00B50CA8" w:rsidP="00B50CA8">
      <w:pPr>
        <w:pStyle w:val="Textonotapie"/>
        <w:rPr>
          <w:sz w:val="20"/>
          <w:szCs w:val="20"/>
        </w:rPr>
      </w:pPr>
      <w:r w:rsidRPr="008816EF">
        <w:rPr>
          <w:rStyle w:val="Refdenotaalpie"/>
          <w:sz w:val="20"/>
          <w:szCs w:val="20"/>
        </w:rPr>
        <w:footnoteRef/>
      </w:r>
      <w:r w:rsidRPr="008816EF">
        <w:rPr>
          <w:sz w:val="20"/>
          <w:szCs w:val="20"/>
        </w:rPr>
        <w:t xml:space="preserve"> </w:t>
      </w:r>
      <w:r w:rsidRPr="008816EF">
        <w:rPr>
          <w:i/>
          <w:iCs/>
          <w:sz w:val="20"/>
          <w:szCs w:val="20"/>
        </w:rPr>
        <w:t>Ibíd</w:t>
      </w:r>
      <w:r w:rsidRPr="008816EF">
        <w:rPr>
          <w:sz w:val="20"/>
          <w:szCs w:val="20"/>
        </w:rPr>
        <w:t>., anexos del escrito inicial de demanda.</w:t>
      </w:r>
    </w:p>
  </w:footnote>
  <w:footnote w:id="6">
    <w:p w14:paraId="15D98BF3" w14:textId="15EF6DA7" w:rsidR="00CA0B08" w:rsidRDefault="00CA0B08">
      <w:pPr>
        <w:pStyle w:val="Textonotapie"/>
      </w:pPr>
      <w:r w:rsidRPr="008816EF">
        <w:rPr>
          <w:rStyle w:val="Refdenotaalpie"/>
          <w:sz w:val="20"/>
          <w:szCs w:val="20"/>
        </w:rPr>
        <w:footnoteRef/>
      </w:r>
      <w:r w:rsidRPr="008816EF">
        <w:rPr>
          <w:sz w:val="20"/>
          <w:szCs w:val="20"/>
        </w:rPr>
        <w:t xml:space="preserve"> </w:t>
      </w:r>
      <w:r w:rsidRPr="008816EF">
        <w:rPr>
          <w:i/>
          <w:iCs/>
          <w:sz w:val="20"/>
          <w:szCs w:val="20"/>
        </w:rPr>
        <w:t>Ibíd</w:t>
      </w:r>
      <w:r w:rsidRPr="008816EF">
        <w:rPr>
          <w:sz w:val="20"/>
          <w:szCs w:val="20"/>
        </w:rPr>
        <w:t>., anexos del escrito inicial de demanda.</w:t>
      </w:r>
    </w:p>
  </w:footnote>
  <w:footnote w:id="7">
    <w:p w14:paraId="13E106B0" w14:textId="77777777" w:rsidR="00B50CA8" w:rsidRPr="003C0FCE" w:rsidRDefault="00B50CA8" w:rsidP="00B50CA8">
      <w:pPr>
        <w:pStyle w:val="Textonotapie"/>
        <w:rPr>
          <w:sz w:val="20"/>
          <w:szCs w:val="20"/>
        </w:rPr>
      </w:pPr>
      <w:r w:rsidRPr="003C0FCE">
        <w:rPr>
          <w:rStyle w:val="Refdenotaalpie"/>
          <w:sz w:val="20"/>
          <w:szCs w:val="20"/>
        </w:rPr>
        <w:footnoteRef/>
      </w:r>
      <w:r w:rsidRPr="003C0FCE">
        <w:rPr>
          <w:sz w:val="20"/>
          <w:szCs w:val="20"/>
        </w:rPr>
        <w:t xml:space="preserve"> </w:t>
      </w:r>
      <w:r w:rsidRPr="003C0FCE">
        <w:rPr>
          <w:i/>
          <w:iCs/>
          <w:sz w:val="20"/>
          <w:szCs w:val="20"/>
        </w:rPr>
        <w:t>Ibíd</w:t>
      </w:r>
      <w:r w:rsidRPr="003C0FCE">
        <w:rPr>
          <w:sz w:val="20"/>
          <w:szCs w:val="20"/>
        </w:rPr>
        <w:t xml:space="preserve">., anexos del escrito de contestación a la demanda. </w:t>
      </w:r>
    </w:p>
  </w:footnote>
  <w:footnote w:id="8">
    <w:p w14:paraId="3ACA3D11" w14:textId="77777777" w:rsidR="00B50CA8" w:rsidRPr="00696636" w:rsidRDefault="00B50CA8" w:rsidP="00B50CA8">
      <w:pPr>
        <w:pStyle w:val="Textonotapie"/>
        <w:rPr>
          <w:sz w:val="20"/>
          <w:szCs w:val="20"/>
        </w:rPr>
      </w:pPr>
      <w:r w:rsidRPr="00696636">
        <w:rPr>
          <w:rStyle w:val="Refdenotaalpie"/>
          <w:sz w:val="20"/>
          <w:szCs w:val="20"/>
        </w:rPr>
        <w:footnoteRef/>
      </w:r>
      <w:r w:rsidRPr="00696636">
        <w:rPr>
          <w:sz w:val="20"/>
          <w:szCs w:val="20"/>
        </w:rPr>
        <w:t xml:space="preserve"> </w:t>
      </w:r>
      <w:r w:rsidRPr="00696636">
        <w:rPr>
          <w:i/>
          <w:iCs/>
          <w:sz w:val="20"/>
          <w:szCs w:val="20"/>
        </w:rPr>
        <w:t>Ibíd</w:t>
      </w:r>
      <w:r w:rsidRPr="00696636">
        <w:rPr>
          <w:sz w:val="20"/>
          <w:szCs w:val="20"/>
        </w:rPr>
        <w:t>., escrito inicial de demanda.</w:t>
      </w:r>
    </w:p>
  </w:footnote>
  <w:footnote w:id="9">
    <w:p w14:paraId="7B9598AD" w14:textId="77777777" w:rsidR="00B50CA8" w:rsidRPr="00696636" w:rsidRDefault="00B50CA8" w:rsidP="00B50CA8">
      <w:pPr>
        <w:pStyle w:val="Textonotapie"/>
        <w:rPr>
          <w:sz w:val="20"/>
          <w:szCs w:val="20"/>
        </w:rPr>
      </w:pPr>
      <w:r w:rsidRPr="00696636">
        <w:rPr>
          <w:rStyle w:val="Refdenotaalpie"/>
          <w:sz w:val="20"/>
          <w:szCs w:val="20"/>
        </w:rPr>
        <w:footnoteRef/>
      </w:r>
      <w:r w:rsidRPr="00696636">
        <w:rPr>
          <w:sz w:val="20"/>
          <w:szCs w:val="20"/>
        </w:rPr>
        <w:t xml:space="preserve"> </w:t>
      </w:r>
      <w:r w:rsidRPr="00696636">
        <w:rPr>
          <w:i/>
          <w:sz w:val="20"/>
          <w:szCs w:val="20"/>
        </w:rPr>
        <w:t>Ibíd</w:t>
      </w:r>
      <w:r w:rsidRPr="00696636">
        <w:rPr>
          <w:sz w:val="20"/>
          <w:szCs w:val="20"/>
        </w:rPr>
        <w:t>., acuerdo de ocho de noviembre de dos mil veintiuno.</w:t>
      </w:r>
    </w:p>
  </w:footnote>
  <w:footnote w:id="10">
    <w:p w14:paraId="350F2D71" w14:textId="77777777" w:rsidR="00B50CA8" w:rsidRDefault="00B50CA8" w:rsidP="00B50CA8">
      <w:pPr>
        <w:pStyle w:val="Textonotapie"/>
      </w:pPr>
      <w:r w:rsidRPr="00696636">
        <w:rPr>
          <w:rStyle w:val="Refdenotaalpie"/>
          <w:sz w:val="20"/>
          <w:szCs w:val="20"/>
        </w:rPr>
        <w:footnoteRef/>
      </w:r>
      <w:r w:rsidRPr="00696636">
        <w:rPr>
          <w:sz w:val="20"/>
          <w:szCs w:val="20"/>
        </w:rPr>
        <w:t xml:space="preserve"> </w:t>
      </w:r>
      <w:r w:rsidRPr="00696636">
        <w:rPr>
          <w:i/>
          <w:iCs/>
          <w:sz w:val="20"/>
          <w:szCs w:val="20"/>
        </w:rPr>
        <w:t>Ibíd</w:t>
      </w:r>
      <w:r w:rsidRPr="00696636">
        <w:rPr>
          <w:sz w:val="20"/>
          <w:szCs w:val="20"/>
        </w:rPr>
        <w:t>., anexos del escrito</w:t>
      </w:r>
      <w:r w:rsidRPr="003C0FCE">
        <w:rPr>
          <w:sz w:val="20"/>
          <w:szCs w:val="20"/>
        </w:rPr>
        <w:t xml:space="preserve"> de contestación a la demanda.</w:t>
      </w:r>
    </w:p>
  </w:footnote>
  <w:footnote w:id="11">
    <w:p w14:paraId="224F26FD" w14:textId="77777777" w:rsidR="00B50CA8" w:rsidRPr="000D6456" w:rsidRDefault="00B50CA8" w:rsidP="00B50CA8">
      <w:pPr>
        <w:pStyle w:val="Textonotapie"/>
        <w:rPr>
          <w:sz w:val="20"/>
          <w:szCs w:val="20"/>
        </w:rPr>
      </w:pPr>
      <w:r w:rsidRPr="000D6456">
        <w:rPr>
          <w:rStyle w:val="Refdenotaalpie"/>
          <w:sz w:val="20"/>
          <w:szCs w:val="20"/>
        </w:rPr>
        <w:footnoteRef/>
      </w:r>
      <w:r w:rsidRPr="000D6456">
        <w:rPr>
          <w:sz w:val="20"/>
          <w:szCs w:val="20"/>
        </w:rPr>
        <w:t xml:space="preserve"> </w:t>
      </w:r>
      <w:r w:rsidRPr="000D6456">
        <w:rPr>
          <w:i/>
          <w:iCs/>
          <w:sz w:val="20"/>
          <w:szCs w:val="20"/>
        </w:rPr>
        <w:t>Ibíd</w:t>
      </w:r>
      <w:r w:rsidRPr="000D6456">
        <w:rPr>
          <w:sz w:val="20"/>
          <w:szCs w:val="20"/>
        </w:rPr>
        <w:t xml:space="preserve">., acuerdo de admisión de </w:t>
      </w:r>
      <w:r>
        <w:rPr>
          <w:sz w:val="20"/>
          <w:szCs w:val="20"/>
        </w:rPr>
        <w:t>seis de diciembre</w:t>
      </w:r>
      <w:r w:rsidRPr="000D6456">
        <w:rPr>
          <w:sz w:val="20"/>
          <w:szCs w:val="20"/>
        </w:rPr>
        <w:t xml:space="preserve"> de dos mil veint</w:t>
      </w:r>
      <w:r>
        <w:rPr>
          <w:sz w:val="20"/>
          <w:szCs w:val="20"/>
        </w:rPr>
        <w:t>iuno</w:t>
      </w:r>
      <w:r w:rsidRPr="000D6456">
        <w:rPr>
          <w:sz w:val="20"/>
          <w:szCs w:val="20"/>
        </w:rPr>
        <w:t xml:space="preserve">. </w:t>
      </w:r>
    </w:p>
  </w:footnote>
  <w:footnote w:id="12">
    <w:p w14:paraId="519770B4" w14:textId="77777777" w:rsidR="00B50CA8" w:rsidRPr="00B32CF1" w:rsidRDefault="00B50CA8" w:rsidP="00B50CA8">
      <w:pPr>
        <w:pStyle w:val="Textonotapie"/>
        <w:rPr>
          <w:sz w:val="20"/>
          <w:szCs w:val="20"/>
        </w:rPr>
      </w:pPr>
      <w:r w:rsidRPr="00B32CF1">
        <w:rPr>
          <w:rStyle w:val="Refdenotaalpie"/>
          <w:sz w:val="20"/>
          <w:szCs w:val="20"/>
        </w:rPr>
        <w:footnoteRef/>
      </w:r>
      <w:r w:rsidRPr="00B32CF1">
        <w:rPr>
          <w:sz w:val="20"/>
          <w:szCs w:val="20"/>
        </w:rPr>
        <w:t xml:space="preserve"> </w:t>
      </w:r>
      <w:r>
        <w:rPr>
          <w:sz w:val="20"/>
          <w:szCs w:val="20"/>
        </w:rPr>
        <w:t>Véase el expediente electrónico del incidente de suspensión de la controversia constitucional 171/2021, acuerdo de seis de diciembre</w:t>
      </w:r>
      <w:r w:rsidRPr="000D6456">
        <w:rPr>
          <w:sz w:val="20"/>
          <w:szCs w:val="20"/>
        </w:rPr>
        <w:t xml:space="preserve"> de dos mil veint</w:t>
      </w:r>
      <w:r>
        <w:rPr>
          <w:sz w:val="20"/>
          <w:szCs w:val="20"/>
        </w:rPr>
        <w:t>iuno</w:t>
      </w:r>
      <w:r w:rsidRPr="000D6456">
        <w:rPr>
          <w:sz w:val="20"/>
          <w:szCs w:val="20"/>
        </w:rPr>
        <w:t>.</w:t>
      </w:r>
    </w:p>
  </w:footnote>
  <w:footnote w:id="13">
    <w:p w14:paraId="39CB9D75" w14:textId="77777777" w:rsidR="00B50CA8" w:rsidRPr="003D713B" w:rsidRDefault="00B50CA8" w:rsidP="00B50CA8">
      <w:pPr>
        <w:pStyle w:val="Textonotapie"/>
      </w:pPr>
      <w:r w:rsidRPr="003D713B">
        <w:rPr>
          <w:rStyle w:val="Refdenotaalpie"/>
          <w:sz w:val="20"/>
        </w:rPr>
        <w:footnoteRef/>
      </w:r>
      <w:r w:rsidRPr="003D713B">
        <w:t xml:space="preserve"> </w:t>
      </w:r>
      <w:r>
        <w:rPr>
          <w:sz w:val="20"/>
          <w:szCs w:val="20"/>
        </w:rPr>
        <w:t xml:space="preserve">Véase </w:t>
      </w:r>
      <w:r w:rsidRPr="000D6456">
        <w:rPr>
          <w:sz w:val="20"/>
          <w:szCs w:val="20"/>
        </w:rPr>
        <w:t xml:space="preserve">el expediente electrónico de la controversia constitucional </w:t>
      </w:r>
      <w:r>
        <w:rPr>
          <w:sz w:val="20"/>
          <w:szCs w:val="20"/>
        </w:rPr>
        <w:t>171/2021</w:t>
      </w:r>
      <w:r w:rsidRPr="000D6456">
        <w:rPr>
          <w:sz w:val="20"/>
          <w:szCs w:val="20"/>
        </w:rPr>
        <w:t>, escrito</w:t>
      </w:r>
      <w:r>
        <w:rPr>
          <w:sz w:val="20"/>
          <w:szCs w:val="20"/>
        </w:rPr>
        <w:t xml:space="preserve"> de contestación a la demanda.</w:t>
      </w:r>
    </w:p>
  </w:footnote>
  <w:footnote w:id="14">
    <w:p w14:paraId="536452D7" w14:textId="755A9E27" w:rsidR="00B50CA8" w:rsidRPr="002F1D58" w:rsidRDefault="00B50CA8" w:rsidP="00B50CA8">
      <w:pPr>
        <w:pStyle w:val="Textonotapie"/>
        <w:rPr>
          <w:sz w:val="20"/>
          <w:szCs w:val="20"/>
        </w:rPr>
      </w:pPr>
      <w:r w:rsidRPr="002F1D58">
        <w:rPr>
          <w:rStyle w:val="Refdenotaalpie"/>
          <w:sz w:val="20"/>
          <w:szCs w:val="20"/>
        </w:rPr>
        <w:footnoteRef/>
      </w:r>
      <w:r w:rsidRPr="002F1D58">
        <w:rPr>
          <w:sz w:val="20"/>
          <w:szCs w:val="20"/>
        </w:rPr>
        <w:t xml:space="preserve"> </w:t>
      </w:r>
      <w:r w:rsidRPr="002F1D58">
        <w:rPr>
          <w:i/>
          <w:iCs/>
          <w:sz w:val="20"/>
          <w:szCs w:val="20"/>
        </w:rPr>
        <w:t>Ibíd</w:t>
      </w:r>
      <w:r w:rsidRPr="002F1D58">
        <w:rPr>
          <w:sz w:val="20"/>
          <w:szCs w:val="20"/>
        </w:rPr>
        <w:t>., acuerdo d</w:t>
      </w:r>
      <w:r w:rsidR="00EA142D">
        <w:rPr>
          <w:sz w:val="20"/>
          <w:szCs w:val="20"/>
        </w:rPr>
        <w:t>e tres d</w:t>
      </w:r>
      <w:r w:rsidRPr="002F1D58">
        <w:rPr>
          <w:sz w:val="20"/>
          <w:szCs w:val="20"/>
        </w:rPr>
        <w:t xml:space="preserve">e </w:t>
      </w:r>
      <w:r>
        <w:rPr>
          <w:sz w:val="20"/>
          <w:szCs w:val="20"/>
        </w:rPr>
        <w:t>febrero</w:t>
      </w:r>
      <w:r w:rsidRPr="002F1D58">
        <w:rPr>
          <w:sz w:val="20"/>
          <w:szCs w:val="20"/>
        </w:rPr>
        <w:t xml:space="preserve"> de dos mil </w:t>
      </w:r>
      <w:r>
        <w:rPr>
          <w:sz w:val="20"/>
          <w:szCs w:val="20"/>
        </w:rPr>
        <w:t>veintidós</w:t>
      </w:r>
      <w:r w:rsidRPr="002F1D58">
        <w:rPr>
          <w:sz w:val="20"/>
          <w:szCs w:val="20"/>
        </w:rPr>
        <w:t>.</w:t>
      </w:r>
    </w:p>
  </w:footnote>
  <w:footnote w:id="15">
    <w:p w14:paraId="4ACAEAEE" w14:textId="10AAB284" w:rsidR="00B50CA8" w:rsidRPr="00527A4D" w:rsidRDefault="00B50CA8" w:rsidP="00B50CA8">
      <w:pPr>
        <w:pStyle w:val="Textonotapie"/>
        <w:rPr>
          <w:sz w:val="20"/>
          <w:szCs w:val="20"/>
        </w:rPr>
      </w:pPr>
      <w:r w:rsidRPr="002F1D58">
        <w:rPr>
          <w:rStyle w:val="Refdenotaalpie"/>
          <w:sz w:val="20"/>
          <w:szCs w:val="20"/>
        </w:rPr>
        <w:footnoteRef/>
      </w:r>
      <w:r w:rsidRPr="002F1D58">
        <w:rPr>
          <w:sz w:val="20"/>
          <w:szCs w:val="20"/>
        </w:rPr>
        <w:t xml:space="preserve"> </w:t>
      </w:r>
      <w:r w:rsidRPr="002F1D58">
        <w:rPr>
          <w:i/>
          <w:iCs/>
          <w:sz w:val="20"/>
          <w:szCs w:val="20"/>
        </w:rPr>
        <w:t>Ibíd</w:t>
      </w:r>
      <w:r w:rsidRPr="002F1D58">
        <w:rPr>
          <w:sz w:val="20"/>
          <w:szCs w:val="20"/>
        </w:rPr>
        <w:t xml:space="preserve">., </w:t>
      </w:r>
      <w:r w:rsidRPr="00696636">
        <w:rPr>
          <w:sz w:val="20"/>
          <w:szCs w:val="20"/>
        </w:rPr>
        <w:t>escrito</w:t>
      </w:r>
      <w:r w:rsidRPr="003C0FCE">
        <w:rPr>
          <w:sz w:val="20"/>
          <w:szCs w:val="20"/>
        </w:rPr>
        <w:t xml:space="preserve"> de </w:t>
      </w:r>
      <w:r>
        <w:rPr>
          <w:sz w:val="20"/>
          <w:szCs w:val="20"/>
        </w:rPr>
        <w:t xml:space="preserve">desahogo de requerimiento. </w:t>
      </w:r>
    </w:p>
  </w:footnote>
  <w:footnote w:id="16">
    <w:p w14:paraId="65A38AB8" w14:textId="448F00EC" w:rsidR="00B50CA8" w:rsidRPr="009410DB" w:rsidRDefault="00B50CA8" w:rsidP="00B50CA8">
      <w:pPr>
        <w:pStyle w:val="Sinespaciado"/>
        <w:rPr>
          <w:sz w:val="20"/>
          <w:szCs w:val="20"/>
          <w:highlight w:val="cyan"/>
        </w:rPr>
      </w:pPr>
      <w:r w:rsidRPr="009410DB">
        <w:rPr>
          <w:rStyle w:val="Refdenotaalpie"/>
          <w:sz w:val="20"/>
          <w:szCs w:val="20"/>
        </w:rPr>
        <w:footnoteRef/>
      </w:r>
      <w:r w:rsidRPr="009410DB">
        <w:rPr>
          <w:sz w:val="20"/>
          <w:szCs w:val="20"/>
        </w:rPr>
        <w:t xml:space="preserve"> </w:t>
      </w:r>
      <w:r w:rsidRPr="009410DB">
        <w:rPr>
          <w:i/>
          <w:iCs/>
          <w:sz w:val="20"/>
          <w:szCs w:val="20"/>
        </w:rPr>
        <w:t>Ibíd</w:t>
      </w:r>
      <w:r w:rsidRPr="009410DB">
        <w:rPr>
          <w:sz w:val="20"/>
          <w:szCs w:val="20"/>
        </w:rPr>
        <w:t xml:space="preserve">., acta de audiencia de </w:t>
      </w:r>
      <w:r w:rsidRPr="00762D2A">
        <w:rPr>
          <w:sz w:val="20"/>
          <w:szCs w:val="20"/>
        </w:rPr>
        <w:t xml:space="preserve">once de </w:t>
      </w:r>
      <w:r w:rsidR="00762D2A" w:rsidRPr="00762D2A">
        <w:rPr>
          <w:sz w:val="20"/>
          <w:szCs w:val="20"/>
        </w:rPr>
        <w:t>abril</w:t>
      </w:r>
      <w:r w:rsidRPr="00762D2A">
        <w:rPr>
          <w:sz w:val="20"/>
          <w:szCs w:val="20"/>
        </w:rPr>
        <w:t xml:space="preserve"> de dos</w:t>
      </w:r>
      <w:r w:rsidRPr="009410DB">
        <w:rPr>
          <w:sz w:val="20"/>
          <w:szCs w:val="20"/>
        </w:rPr>
        <w:t xml:space="preserve"> mil </w:t>
      </w:r>
      <w:r>
        <w:rPr>
          <w:sz w:val="20"/>
          <w:szCs w:val="20"/>
        </w:rPr>
        <w:t>veintidós</w:t>
      </w:r>
      <w:r w:rsidRPr="009410DB">
        <w:rPr>
          <w:sz w:val="20"/>
          <w:szCs w:val="20"/>
        </w:rPr>
        <w:t>.</w:t>
      </w:r>
    </w:p>
  </w:footnote>
  <w:footnote w:id="17">
    <w:p w14:paraId="4E0DA204" w14:textId="3CEB3BA9" w:rsidR="00B50CA8" w:rsidRPr="009410DB" w:rsidRDefault="00B50CA8" w:rsidP="00B50CA8">
      <w:pPr>
        <w:pStyle w:val="Sinespaciado"/>
        <w:rPr>
          <w:sz w:val="20"/>
          <w:szCs w:val="20"/>
          <w:highlight w:val="cyan"/>
        </w:rPr>
      </w:pPr>
      <w:r w:rsidRPr="009410DB">
        <w:rPr>
          <w:rStyle w:val="Refdenotaalpie"/>
          <w:sz w:val="20"/>
          <w:szCs w:val="20"/>
        </w:rPr>
        <w:footnoteRef/>
      </w:r>
      <w:r w:rsidRPr="009410DB">
        <w:rPr>
          <w:sz w:val="20"/>
          <w:szCs w:val="20"/>
        </w:rPr>
        <w:t xml:space="preserve"> </w:t>
      </w:r>
      <w:r w:rsidRPr="009410DB">
        <w:rPr>
          <w:i/>
          <w:iCs/>
          <w:sz w:val="20"/>
          <w:szCs w:val="20"/>
        </w:rPr>
        <w:t>Ibíd</w:t>
      </w:r>
      <w:r w:rsidRPr="009410DB">
        <w:rPr>
          <w:sz w:val="20"/>
          <w:szCs w:val="20"/>
        </w:rPr>
        <w:t xml:space="preserve">., acuerdo de </w:t>
      </w:r>
      <w:r w:rsidR="005A087B">
        <w:rPr>
          <w:sz w:val="20"/>
          <w:szCs w:val="20"/>
        </w:rPr>
        <w:t>veintiuno</w:t>
      </w:r>
      <w:r>
        <w:rPr>
          <w:sz w:val="20"/>
          <w:szCs w:val="20"/>
        </w:rPr>
        <w:t xml:space="preserve"> de </w:t>
      </w:r>
      <w:r w:rsidR="00B2376E">
        <w:rPr>
          <w:sz w:val="20"/>
          <w:szCs w:val="20"/>
        </w:rPr>
        <w:t>abril</w:t>
      </w:r>
      <w:r w:rsidRPr="009410DB">
        <w:rPr>
          <w:sz w:val="20"/>
          <w:szCs w:val="20"/>
        </w:rPr>
        <w:t xml:space="preserve"> de dos mil </w:t>
      </w:r>
      <w:r>
        <w:rPr>
          <w:sz w:val="20"/>
          <w:szCs w:val="20"/>
        </w:rPr>
        <w:t>veintidós</w:t>
      </w:r>
      <w:r w:rsidRPr="009410DB">
        <w:rPr>
          <w:sz w:val="20"/>
          <w:szCs w:val="20"/>
        </w:rPr>
        <w:t>.</w:t>
      </w:r>
    </w:p>
  </w:footnote>
  <w:footnote w:id="18">
    <w:p w14:paraId="7C0D3FE0" w14:textId="51A7799A" w:rsidR="00B50CA8" w:rsidRPr="00F45ED5" w:rsidRDefault="00B50CA8" w:rsidP="00B50CA8">
      <w:pPr>
        <w:pStyle w:val="Textonotapie"/>
        <w:rPr>
          <w:sz w:val="20"/>
          <w:szCs w:val="20"/>
        </w:rPr>
      </w:pPr>
      <w:r w:rsidRPr="00F45ED5">
        <w:rPr>
          <w:rStyle w:val="Refdenotaalpie"/>
          <w:sz w:val="20"/>
          <w:szCs w:val="20"/>
        </w:rPr>
        <w:footnoteRef/>
      </w:r>
      <w:r w:rsidRPr="00F45ED5">
        <w:rPr>
          <w:sz w:val="20"/>
          <w:szCs w:val="20"/>
          <w:lang w:val="pt-BR"/>
        </w:rPr>
        <w:t xml:space="preserve"> </w:t>
      </w:r>
      <w:r w:rsidRPr="00F45ED5">
        <w:rPr>
          <w:i/>
          <w:iCs/>
          <w:sz w:val="20"/>
          <w:szCs w:val="20"/>
        </w:rPr>
        <w:t>Ibíd</w:t>
      </w:r>
      <w:r w:rsidRPr="00F45ED5">
        <w:rPr>
          <w:sz w:val="20"/>
          <w:szCs w:val="20"/>
        </w:rPr>
        <w:t xml:space="preserve">., acuerdo de </w:t>
      </w:r>
      <w:r w:rsidR="00157D2F">
        <w:rPr>
          <w:sz w:val="20"/>
          <w:szCs w:val="20"/>
        </w:rPr>
        <w:t>dos de mayo</w:t>
      </w:r>
      <w:r w:rsidRPr="00F45ED5">
        <w:rPr>
          <w:sz w:val="20"/>
          <w:szCs w:val="20"/>
        </w:rPr>
        <w:t xml:space="preserve"> de dos mil veintidós.</w:t>
      </w:r>
    </w:p>
  </w:footnote>
  <w:footnote w:id="19">
    <w:p w14:paraId="045DDDE4" w14:textId="77777777" w:rsidR="00582CC8" w:rsidRPr="00F45ED5" w:rsidRDefault="00582CC8" w:rsidP="00582CC8">
      <w:pPr>
        <w:pStyle w:val="Sinespaciado"/>
        <w:rPr>
          <w:sz w:val="20"/>
          <w:szCs w:val="20"/>
        </w:rPr>
      </w:pPr>
      <w:r w:rsidRPr="00F45ED5">
        <w:rPr>
          <w:rStyle w:val="Refdenotaalpie"/>
          <w:sz w:val="20"/>
          <w:szCs w:val="20"/>
        </w:rPr>
        <w:footnoteRef/>
      </w:r>
      <w:r w:rsidRPr="00F45ED5">
        <w:rPr>
          <w:sz w:val="20"/>
          <w:szCs w:val="20"/>
        </w:rPr>
        <w:t xml:space="preserve"> </w:t>
      </w:r>
      <w:r w:rsidRPr="00F45ED5">
        <w:rPr>
          <w:b/>
          <w:sz w:val="20"/>
          <w:szCs w:val="20"/>
        </w:rPr>
        <w:t xml:space="preserve">Artículo 105. </w:t>
      </w:r>
      <w:r w:rsidRPr="00F45ED5">
        <w:rPr>
          <w:sz w:val="20"/>
          <w:szCs w:val="20"/>
        </w:rPr>
        <w:t>La Suprema Corte de Justicia de la Nación conocerá, en los términos que señale la ley reglamentaria, de los asuntos siguientes:</w:t>
      </w:r>
    </w:p>
    <w:p w14:paraId="0D088BD9" w14:textId="64FF2D2C" w:rsidR="00582CC8" w:rsidRPr="00F45ED5" w:rsidRDefault="00582CC8" w:rsidP="00582CC8">
      <w:pPr>
        <w:pStyle w:val="Sinespaciado"/>
        <w:rPr>
          <w:sz w:val="20"/>
          <w:szCs w:val="20"/>
        </w:rPr>
      </w:pPr>
      <w:r w:rsidRPr="00F45ED5">
        <w:rPr>
          <w:b/>
          <w:bCs/>
          <w:sz w:val="20"/>
          <w:szCs w:val="20"/>
        </w:rPr>
        <w:t>I.</w:t>
      </w:r>
      <w:r w:rsidRPr="00F45ED5">
        <w:rPr>
          <w:sz w:val="20"/>
          <w:szCs w:val="20"/>
        </w:rPr>
        <w:t xml:space="preserve"> De las controversias constitucionales que, sobre la constitucionalidad de las normas generales, actos u omisiones, con excepción de las que se refieran a la materia electoral, se susciten entre:</w:t>
      </w:r>
      <w:r w:rsidR="00076346">
        <w:rPr>
          <w:sz w:val="20"/>
          <w:szCs w:val="20"/>
        </w:rPr>
        <w:t xml:space="preserve"> </w:t>
      </w:r>
      <w:r w:rsidRPr="00F45ED5">
        <w:rPr>
          <w:sz w:val="20"/>
          <w:szCs w:val="20"/>
        </w:rPr>
        <w:t>[...]</w:t>
      </w:r>
    </w:p>
    <w:p w14:paraId="7049C1F2" w14:textId="3D148C58" w:rsidR="00582CC8" w:rsidRPr="00223AA8" w:rsidRDefault="00582CC8" w:rsidP="00582CC8">
      <w:pPr>
        <w:pStyle w:val="Sinespaciado"/>
        <w:rPr>
          <w:sz w:val="20"/>
          <w:szCs w:val="20"/>
        </w:rPr>
      </w:pPr>
      <w:r w:rsidRPr="00DB7078">
        <w:rPr>
          <w:b/>
          <w:bCs/>
          <w:sz w:val="20"/>
          <w:szCs w:val="20"/>
        </w:rPr>
        <w:t>k)</w:t>
      </w:r>
      <w:r w:rsidRPr="00DB7078">
        <w:rPr>
          <w:sz w:val="20"/>
          <w:szCs w:val="20"/>
        </w:rPr>
        <w:t xml:space="preserve"> Dos órganos constitucionales autónomos de una entidad federativa, y entre uno de éstos y el Poder Ejecutivo o el Poder Legislativo de esa entidad federativa, y</w:t>
      </w:r>
      <w:r w:rsidR="00076346">
        <w:rPr>
          <w:sz w:val="20"/>
          <w:szCs w:val="20"/>
        </w:rPr>
        <w:t xml:space="preserve"> </w:t>
      </w:r>
      <w:r w:rsidRPr="001F438C">
        <w:rPr>
          <w:sz w:val="20"/>
          <w:szCs w:val="20"/>
        </w:rPr>
        <w:t>[...]</w:t>
      </w:r>
    </w:p>
  </w:footnote>
  <w:footnote w:id="20">
    <w:p w14:paraId="58A259B3" w14:textId="77777777" w:rsidR="00582CC8" w:rsidRPr="006071FD" w:rsidRDefault="00582CC8" w:rsidP="00582CC8">
      <w:pPr>
        <w:pStyle w:val="Sinespaciado"/>
        <w:rPr>
          <w:sz w:val="20"/>
          <w:szCs w:val="20"/>
        </w:rPr>
      </w:pPr>
      <w:r w:rsidRPr="006071FD">
        <w:rPr>
          <w:rStyle w:val="Refdenotaalpie"/>
          <w:sz w:val="20"/>
          <w:szCs w:val="20"/>
        </w:rPr>
        <w:footnoteRef/>
      </w:r>
      <w:r w:rsidRPr="006071FD">
        <w:rPr>
          <w:sz w:val="20"/>
          <w:szCs w:val="20"/>
        </w:rPr>
        <w:t xml:space="preserve"> </w:t>
      </w:r>
      <w:r w:rsidRPr="006071FD">
        <w:rPr>
          <w:b/>
          <w:sz w:val="20"/>
          <w:szCs w:val="20"/>
        </w:rPr>
        <w:t xml:space="preserve">Artículo 10. </w:t>
      </w:r>
      <w:r w:rsidRPr="006071FD">
        <w:rPr>
          <w:sz w:val="20"/>
          <w:szCs w:val="20"/>
        </w:rPr>
        <w:t>La Suprema Corte de Justicia conocerá funcionando en Pleno:</w:t>
      </w:r>
    </w:p>
    <w:p w14:paraId="6757FA5F" w14:textId="77777777" w:rsidR="00582CC8" w:rsidRPr="006071FD" w:rsidRDefault="00582CC8" w:rsidP="00582CC8">
      <w:pPr>
        <w:pStyle w:val="Sinespaciado"/>
        <w:rPr>
          <w:sz w:val="20"/>
          <w:szCs w:val="20"/>
        </w:rPr>
      </w:pPr>
      <w:r w:rsidRPr="006071FD">
        <w:rPr>
          <w:b/>
          <w:bCs/>
          <w:sz w:val="20"/>
          <w:szCs w:val="20"/>
        </w:rPr>
        <w:t xml:space="preserve"> I.</w:t>
      </w:r>
      <w:r w:rsidRPr="006071FD">
        <w:rPr>
          <w:sz w:val="20"/>
          <w:szCs w:val="20"/>
        </w:rPr>
        <w:t xml:space="preserve"> De las controversias constitucionales y acciones de inconstitucionalidad a que se refieren las fracciones I y II del artículo 105 de la Constitución Política de los Estados Unidos Mexicanos; [...]</w:t>
      </w:r>
    </w:p>
  </w:footnote>
  <w:footnote w:id="21">
    <w:p w14:paraId="1A6F8D1D" w14:textId="19D79855" w:rsidR="00582CC8" w:rsidRPr="006071FD" w:rsidRDefault="00582CC8" w:rsidP="00582CC8">
      <w:pPr>
        <w:pStyle w:val="Sinespaciado"/>
        <w:rPr>
          <w:sz w:val="20"/>
          <w:szCs w:val="20"/>
        </w:rPr>
      </w:pPr>
      <w:r w:rsidRPr="006071FD">
        <w:rPr>
          <w:rStyle w:val="Refdenotaalpie"/>
          <w:sz w:val="20"/>
          <w:szCs w:val="20"/>
        </w:rPr>
        <w:footnoteRef/>
      </w:r>
      <w:r w:rsidRPr="006071FD">
        <w:rPr>
          <w:sz w:val="20"/>
          <w:szCs w:val="20"/>
        </w:rPr>
        <w:t xml:space="preserve"> </w:t>
      </w:r>
      <w:r w:rsidRPr="006071FD">
        <w:rPr>
          <w:b/>
          <w:sz w:val="20"/>
          <w:szCs w:val="20"/>
        </w:rPr>
        <w:t xml:space="preserve">Artículo 11. </w:t>
      </w:r>
      <w:r w:rsidR="006071FD" w:rsidRPr="006071FD">
        <w:rPr>
          <w:sz w:val="20"/>
          <w:szCs w:val="20"/>
        </w:rPr>
        <w:t>El Pleno de la Suprema Corte de Justicia de la Nación velará en todo momento por la autonomía de los órganos del Poder Judicial de la Federación y por la independencia de sus integrantes, y tendrá las siguientes atribuciones:</w:t>
      </w:r>
      <w:r w:rsidR="00076346">
        <w:rPr>
          <w:sz w:val="20"/>
          <w:szCs w:val="20"/>
        </w:rPr>
        <w:t xml:space="preserve"> </w:t>
      </w:r>
      <w:r w:rsidRPr="006071FD">
        <w:rPr>
          <w:sz w:val="20"/>
          <w:szCs w:val="20"/>
        </w:rPr>
        <w:t>[...]</w:t>
      </w:r>
    </w:p>
    <w:p w14:paraId="4BDA060A" w14:textId="19BE027B" w:rsidR="00582CC8" w:rsidRPr="00076346" w:rsidRDefault="00582CC8" w:rsidP="00582CC8">
      <w:pPr>
        <w:pStyle w:val="Sinespaciado"/>
        <w:rPr>
          <w:sz w:val="18"/>
          <w:szCs w:val="18"/>
        </w:rPr>
      </w:pPr>
      <w:r w:rsidRPr="00EA1907">
        <w:rPr>
          <w:b/>
          <w:bCs/>
          <w:sz w:val="20"/>
          <w:szCs w:val="20"/>
        </w:rPr>
        <w:t>VIII.</w:t>
      </w:r>
      <w:r w:rsidRPr="00EA1907">
        <w:rPr>
          <w:sz w:val="20"/>
          <w:szCs w:val="20"/>
        </w:rPr>
        <w:t xml:space="preserve"> Remitir para su resolución los asuntos de su competencia a las Salas a través de los acuerdos generales que emita. Si alguna de las Salas estima que el asunto remitido debe ser resuelto por la Suprema Corte de Justicia de la Nación funcionando en Pleno, lo hará del conocimiento de este último para que determine lo que corresponda;</w:t>
      </w:r>
      <w:r w:rsidR="00076346">
        <w:rPr>
          <w:sz w:val="18"/>
          <w:szCs w:val="18"/>
        </w:rPr>
        <w:t xml:space="preserve"> </w:t>
      </w:r>
      <w:r w:rsidRPr="001F438C">
        <w:rPr>
          <w:sz w:val="20"/>
          <w:szCs w:val="20"/>
        </w:rPr>
        <w:t>[...]</w:t>
      </w:r>
    </w:p>
  </w:footnote>
  <w:footnote w:id="22">
    <w:p w14:paraId="062694E3" w14:textId="77777777" w:rsidR="00582CC8" w:rsidRDefault="00582CC8" w:rsidP="00582CC8">
      <w:pPr>
        <w:pStyle w:val="Sinespaciado"/>
        <w:rPr>
          <w:sz w:val="20"/>
          <w:szCs w:val="20"/>
        </w:rPr>
      </w:pPr>
      <w:r w:rsidRPr="00223AA8">
        <w:rPr>
          <w:rStyle w:val="Refdenotaalpie"/>
          <w:sz w:val="20"/>
          <w:szCs w:val="20"/>
        </w:rPr>
        <w:footnoteRef/>
      </w:r>
      <w:r w:rsidRPr="00223AA8">
        <w:rPr>
          <w:sz w:val="20"/>
          <w:szCs w:val="20"/>
        </w:rPr>
        <w:t xml:space="preserve"> </w:t>
      </w:r>
      <w:r w:rsidRPr="00223AA8">
        <w:rPr>
          <w:b/>
          <w:sz w:val="20"/>
          <w:szCs w:val="20"/>
        </w:rPr>
        <w:t>Punto Segundo</w:t>
      </w:r>
      <w:r>
        <w:rPr>
          <w:b/>
          <w:sz w:val="20"/>
          <w:szCs w:val="20"/>
        </w:rPr>
        <w:t xml:space="preserve">. </w:t>
      </w:r>
      <w:r w:rsidRPr="00223AA8">
        <w:rPr>
          <w:sz w:val="20"/>
          <w:szCs w:val="20"/>
        </w:rPr>
        <w:t xml:space="preserve">El Tribunal Pleno de la Suprema Corte de Justicia conservará para su resolución: </w:t>
      </w:r>
      <w:r w:rsidRPr="002A353A">
        <w:rPr>
          <w:b/>
          <w:bCs/>
          <w:sz w:val="20"/>
          <w:szCs w:val="20"/>
        </w:rPr>
        <w:t>I.</w:t>
      </w:r>
      <w:r w:rsidRPr="00223AA8">
        <w:rPr>
          <w:sz w:val="20"/>
          <w:szCs w:val="20"/>
        </w:rPr>
        <w:t xml:space="preserve"> Las controversias constitucionales, </w:t>
      </w:r>
      <w:r w:rsidRPr="00223AA8">
        <w:rPr>
          <w:sz w:val="20"/>
          <w:szCs w:val="20"/>
          <w:u w:val="single"/>
        </w:rPr>
        <w:t>salvo en las que deba sobreseerse</w:t>
      </w:r>
      <w:r w:rsidRPr="00223AA8">
        <w:rPr>
          <w:sz w:val="20"/>
          <w:szCs w:val="20"/>
        </w:rPr>
        <w:t xml:space="preserve"> y aquéllas en las que no se impugnen normas de carácter general, así como los recursos interpuestos en éstas en los que sea necesaria su intervención; </w:t>
      </w:r>
    </w:p>
    <w:p w14:paraId="112A877C" w14:textId="77777777" w:rsidR="00582CC8" w:rsidRPr="002B2838" w:rsidRDefault="00582CC8" w:rsidP="00582CC8">
      <w:pPr>
        <w:pStyle w:val="Sinespaciado"/>
        <w:rPr>
          <w:sz w:val="20"/>
          <w:szCs w:val="20"/>
        </w:rPr>
      </w:pPr>
      <w:r w:rsidRPr="00223AA8">
        <w:rPr>
          <w:sz w:val="20"/>
          <w:szCs w:val="20"/>
        </w:rPr>
        <w:t>Una vez resuelto el problema relacionado con la impugnación de normas generales, el Pleno podrá reservar jurisdicción a las Salas para examinar los conceptos de invalidez restantes;</w:t>
      </w:r>
    </w:p>
  </w:footnote>
  <w:footnote w:id="23">
    <w:p w14:paraId="79786175" w14:textId="77777777" w:rsidR="00582CC8" w:rsidRPr="00963FC0" w:rsidRDefault="00582CC8" w:rsidP="00582CC8">
      <w:pPr>
        <w:pStyle w:val="Textonotapie"/>
        <w:rPr>
          <w:sz w:val="20"/>
          <w:szCs w:val="20"/>
        </w:rPr>
      </w:pPr>
      <w:r w:rsidRPr="00D6523D">
        <w:rPr>
          <w:rStyle w:val="Refdenotaalpie"/>
          <w:sz w:val="20"/>
          <w:szCs w:val="20"/>
        </w:rPr>
        <w:footnoteRef/>
      </w:r>
      <w:r w:rsidRPr="00D6523D">
        <w:rPr>
          <w:sz w:val="20"/>
          <w:szCs w:val="20"/>
        </w:rPr>
        <w:t xml:space="preserve"> </w:t>
      </w:r>
      <w:r w:rsidRPr="00D6523D">
        <w:rPr>
          <w:b/>
          <w:sz w:val="20"/>
          <w:szCs w:val="20"/>
        </w:rPr>
        <w:t>Artículo 41</w:t>
      </w:r>
      <w:r>
        <w:rPr>
          <w:b/>
          <w:sz w:val="20"/>
          <w:szCs w:val="20"/>
        </w:rPr>
        <w:t xml:space="preserve">. </w:t>
      </w:r>
      <w:r w:rsidRPr="00D6523D">
        <w:rPr>
          <w:sz w:val="20"/>
          <w:szCs w:val="20"/>
        </w:rPr>
        <w:t xml:space="preserve">Las sentencias deberán contener: </w:t>
      </w:r>
    </w:p>
    <w:p w14:paraId="1A880E67" w14:textId="39058135" w:rsidR="00582CC8" w:rsidRPr="00353136" w:rsidRDefault="00582CC8" w:rsidP="00353136">
      <w:pPr>
        <w:pStyle w:val="Estilo"/>
        <w:rPr>
          <w:sz w:val="20"/>
          <w:szCs w:val="18"/>
        </w:rPr>
      </w:pPr>
      <w:r w:rsidRPr="003B62DB">
        <w:rPr>
          <w:b/>
          <w:bCs/>
          <w:sz w:val="20"/>
          <w:szCs w:val="18"/>
        </w:rPr>
        <w:t>I.</w:t>
      </w:r>
      <w:r w:rsidRPr="003B62DB">
        <w:rPr>
          <w:sz w:val="20"/>
          <w:szCs w:val="18"/>
        </w:rPr>
        <w:t xml:space="preserve"> La fijación breve y precisa de las normas generales, actos u omisiones objeto de la controversia y, en su caso, la apreciación de las pruebas conducentes a tenerlos o no por demostrados;</w:t>
      </w:r>
      <w:r w:rsidR="00353136">
        <w:rPr>
          <w:sz w:val="20"/>
          <w:szCs w:val="18"/>
          <w:lang w:val="es-MX"/>
        </w:rPr>
        <w:t xml:space="preserve"> </w:t>
      </w:r>
      <w:r w:rsidRPr="00963FC0">
        <w:rPr>
          <w:sz w:val="20"/>
          <w:szCs w:val="20"/>
        </w:rPr>
        <w:t>[...]</w:t>
      </w:r>
    </w:p>
  </w:footnote>
  <w:footnote w:id="24">
    <w:p w14:paraId="51669DC9" w14:textId="77777777" w:rsidR="00491581" w:rsidRPr="00036174" w:rsidRDefault="00491581" w:rsidP="00491581">
      <w:pPr>
        <w:pStyle w:val="Textonotapie"/>
        <w:rPr>
          <w:sz w:val="20"/>
          <w:szCs w:val="20"/>
        </w:rPr>
      </w:pPr>
      <w:r w:rsidRPr="00754C53">
        <w:rPr>
          <w:rStyle w:val="Refdenotaalpie"/>
          <w:sz w:val="20"/>
          <w:szCs w:val="20"/>
        </w:rPr>
        <w:footnoteRef/>
      </w:r>
      <w:r w:rsidRPr="00754C53">
        <w:rPr>
          <w:sz w:val="20"/>
          <w:szCs w:val="20"/>
        </w:rPr>
        <w:t xml:space="preserve"> Véase el expediente electrónico de la controversia constitucional 171/2021, anexos del escrito </w:t>
      </w:r>
      <w:r w:rsidRPr="00036174">
        <w:rPr>
          <w:sz w:val="20"/>
          <w:szCs w:val="20"/>
        </w:rPr>
        <w:t>inicial de demanda.</w:t>
      </w:r>
    </w:p>
  </w:footnote>
  <w:footnote w:id="25">
    <w:p w14:paraId="69A96B3C" w14:textId="7A4AEBBC" w:rsidR="002B7182" w:rsidRPr="00407BDA" w:rsidRDefault="002B7182" w:rsidP="002B7182">
      <w:pPr>
        <w:pStyle w:val="Textonotapie"/>
        <w:rPr>
          <w:sz w:val="20"/>
          <w:szCs w:val="20"/>
        </w:rPr>
      </w:pPr>
      <w:r w:rsidRPr="00407BDA">
        <w:rPr>
          <w:rStyle w:val="Refdenotaalpie"/>
          <w:sz w:val="20"/>
          <w:szCs w:val="20"/>
        </w:rPr>
        <w:footnoteRef/>
      </w:r>
      <w:r w:rsidRPr="00407BDA">
        <w:rPr>
          <w:sz w:val="20"/>
          <w:szCs w:val="20"/>
        </w:rPr>
        <w:t xml:space="preserve"> </w:t>
      </w:r>
      <w:r w:rsidRPr="00407BDA">
        <w:rPr>
          <w:b/>
          <w:sz w:val="20"/>
          <w:szCs w:val="20"/>
        </w:rPr>
        <w:t xml:space="preserve">Artículo 19. </w:t>
      </w:r>
      <w:r w:rsidRPr="00407BDA">
        <w:rPr>
          <w:sz w:val="20"/>
          <w:szCs w:val="20"/>
        </w:rPr>
        <w:t>Las controversias constitucionales son improcedentes:</w:t>
      </w:r>
      <w:r w:rsidR="00353136">
        <w:rPr>
          <w:sz w:val="20"/>
          <w:szCs w:val="20"/>
        </w:rPr>
        <w:t xml:space="preserve"> </w:t>
      </w:r>
      <w:r w:rsidRPr="00407BDA">
        <w:rPr>
          <w:sz w:val="20"/>
          <w:szCs w:val="20"/>
        </w:rPr>
        <w:t>[...]</w:t>
      </w:r>
    </w:p>
    <w:p w14:paraId="14D359E6" w14:textId="4080ED24" w:rsidR="002B7182" w:rsidRPr="00047798" w:rsidRDefault="002B7182" w:rsidP="002B7182">
      <w:pPr>
        <w:pStyle w:val="Textonotapie"/>
        <w:rPr>
          <w:sz w:val="20"/>
          <w:szCs w:val="20"/>
        </w:rPr>
      </w:pPr>
      <w:r w:rsidRPr="00027EBC">
        <w:rPr>
          <w:bCs/>
          <w:sz w:val="20"/>
          <w:szCs w:val="20"/>
        </w:rPr>
        <w:t>V.-</w:t>
      </w:r>
      <w:r w:rsidRPr="00407BDA">
        <w:rPr>
          <w:sz w:val="20"/>
          <w:szCs w:val="20"/>
        </w:rPr>
        <w:t xml:space="preserve"> Cuando hayan cesado</w:t>
      </w:r>
      <w:r w:rsidRPr="00963FC0">
        <w:rPr>
          <w:sz w:val="20"/>
          <w:szCs w:val="20"/>
        </w:rPr>
        <w:t xml:space="preserve"> los efectos de la norma general o acto materia de la controversia</w:t>
      </w:r>
      <w:r>
        <w:rPr>
          <w:sz w:val="20"/>
          <w:szCs w:val="20"/>
        </w:rPr>
        <w:t>;</w:t>
      </w:r>
      <w:r w:rsidR="00353136">
        <w:rPr>
          <w:sz w:val="20"/>
          <w:szCs w:val="20"/>
        </w:rPr>
        <w:t xml:space="preserve"> </w:t>
      </w:r>
      <w:r w:rsidRPr="00407BDA">
        <w:rPr>
          <w:sz w:val="20"/>
          <w:szCs w:val="20"/>
        </w:rPr>
        <w:t>[...]</w:t>
      </w:r>
    </w:p>
  </w:footnote>
  <w:footnote w:id="26">
    <w:p w14:paraId="0B2C8D39" w14:textId="77777777" w:rsidR="002B7182" w:rsidRPr="00584620" w:rsidRDefault="002B7182" w:rsidP="002B7182">
      <w:pPr>
        <w:pStyle w:val="corte4fondo"/>
        <w:rPr>
          <w:rFonts w:cs="Arial"/>
          <w:sz w:val="20"/>
          <w:lang w:val="es-ES_tradnl"/>
        </w:rPr>
      </w:pPr>
      <w:r w:rsidRPr="00963FC0">
        <w:rPr>
          <w:rStyle w:val="Refdenotaalpie"/>
          <w:sz w:val="20"/>
        </w:rPr>
        <w:footnoteRef/>
      </w:r>
      <w:r w:rsidRPr="00963FC0">
        <w:rPr>
          <w:sz w:val="20"/>
        </w:rPr>
        <w:t xml:space="preserve"> </w:t>
      </w:r>
      <w:r w:rsidRPr="00963FC0">
        <w:rPr>
          <w:rFonts w:cs="Arial"/>
          <w:sz w:val="20"/>
          <w:lang w:val="es-ES_tradnl"/>
        </w:rPr>
        <w:t xml:space="preserve">Véase la jurisprudencia del Pleno </w:t>
      </w:r>
      <w:r w:rsidRPr="00963FC0">
        <w:rPr>
          <w:sz w:val="20"/>
        </w:rPr>
        <w:t xml:space="preserve">P./J. 54/2001 </w:t>
      </w:r>
      <w:r w:rsidRPr="00963FC0">
        <w:rPr>
          <w:rFonts w:cs="Arial"/>
          <w:sz w:val="20"/>
          <w:lang w:val="es-ES_tradnl"/>
        </w:rPr>
        <w:t xml:space="preserve">cuyo rubro es: </w:t>
      </w:r>
      <w:r w:rsidRPr="00963FC0">
        <w:rPr>
          <w:rFonts w:cs="Arial"/>
          <w:b/>
          <w:bCs/>
          <w:sz w:val="20"/>
          <w:lang w:val="es-ES_tradnl"/>
        </w:rPr>
        <w:t>“</w:t>
      </w:r>
      <w:r w:rsidRPr="00963FC0">
        <w:rPr>
          <w:b/>
          <w:bCs/>
          <w:sz w:val="20"/>
        </w:rPr>
        <w:t>CESACIÓN DE EFECTOS EN MATERIAS DE AMPARO Y DE CONTROVERSIA CONSTITUCIONAL. SUS DIFERENCIAS”</w:t>
      </w:r>
      <w:r w:rsidRPr="00963FC0">
        <w:rPr>
          <w:rFonts w:cs="Arial"/>
          <w:sz w:val="20"/>
          <w:lang w:val="es-ES_tradnl"/>
        </w:rPr>
        <w:t xml:space="preserve">. </w:t>
      </w:r>
      <w:r w:rsidRPr="00584620">
        <w:rPr>
          <w:rFonts w:cs="Arial"/>
          <w:i/>
          <w:iCs/>
          <w:sz w:val="20"/>
          <w:lang w:val="es-ES_tradnl"/>
        </w:rPr>
        <w:t>Semanario Judicial de la Federación y su Gaceta</w:t>
      </w:r>
      <w:r w:rsidRPr="00584620">
        <w:rPr>
          <w:rFonts w:cs="Arial"/>
          <w:sz w:val="20"/>
          <w:lang w:val="es-ES_tradnl"/>
        </w:rPr>
        <w:t xml:space="preserve">, </w:t>
      </w:r>
      <w:r w:rsidRPr="00584620">
        <w:rPr>
          <w:sz w:val="20"/>
        </w:rPr>
        <w:t>tomo XIII, abril de dos mil uno, pág. 882.</w:t>
      </w:r>
    </w:p>
  </w:footnote>
  <w:footnote w:id="27">
    <w:p w14:paraId="71CB553E" w14:textId="3D942C2B" w:rsidR="00584620" w:rsidRDefault="00584620">
      <w:pPr>
        <w:pStyle w:val="Textonotapie"/>
      </w:pPr>
      <w:r w:rsidRPr="00584620">
        <w:rPr>
          <w:rStyle w:val="Refdenotaalpie"/>
          <w:sz w:val="20"/>
          <w:szCs w:val="20"/>
        </w:rPr>
        <w:footnoteRef/>
      </w:r>
      <w:r w:rsidRPr="00584620">
        <w:rPr>
          <w:sz w:val="20"/>
          <w:szCs w:val="20"/>
        </w:rPr>
        <w:t xml:space="preserve"> Véase </w:t>
      </w:r>
      <w:r w:rsidRPr="00584620">
        <w:rPr>
          <w:i/>
          <w:sz w:val="20"/>
          <w:szCs w:val="20"/>
        </w:rPr>
        <w:t>supra</w:t>
      </w:r>
      <w:r w:rsidRPr="00584620">
        <w:rPr>
          <w:sz w:val="20"/>
          <w:szCs w:val="20"/>
        </w:rPr>
        <w:t xml:space="preserve"> nota 24.</w:t>
      </w:r>
    </w:p>
  </w:footnote>
  <w:footnote w:id="28">
    <w:p w14:paraId="74ABC7E9" w14:textId="4DF83B61" w:rsidR="002B7182" w:rsidRPr="00D25025" w:rsidRDefault="002B7182" w:rsidP="002B7182">
      <w:pPr>
        <w:pStyle w:val="Textonotapie"/>
        <w:rPr>
          <w:sz w:val="20"/>
          <w:szCs w:val="20"/>
        </w:rPr>
      </w:pPr>
      <w:r w:rsidRPr="00D25025">
        <w:rPr>
          <w:rStyle w:val="Refdenotaalpie"/>
          <w:sz w:val="20"/>
          <w:szCs w:val="20"/>
        </w:rPr>
        <w:footnoteRef/>
      </w:r>
      <w:r w:rsidRPr="00D25025">
        <w:rPr>
          <w:sz w:val="20"/>
          <w:szCs w:val="20"/>
        </w:rPr>
        <w:t xml:space="preserve"> </w:t>
      </w:r>
      <w:r w:rsidRPr="00D25025">
        <w:rPr>
          <w:b/>
          <w:sz w:val="20"/>
          <w:szCs w:val="20"/>
        </w:rPr>
        <w:t xml:space="preserve">Artículo 20. </w:t>
      </w:r>
      <w:r w:rsidRPr="00D25025">
        <w:rPr>
          <w:sz w:val="20"/>
          <w:szCs w:val="20"/>
        </w:rPr>
        <w:t>El sobreseimiento procederá en los casos siguientes:</w:t>
      </w:r>
      <w:r w:rsidR="00353136">
        <w:rPr>
          <w:sz w:val="20"/>
          <w:szCs w:val="20"/>
        </w:rPr>
        <w:t xml:space="preserve"> </w:t>
      </w:r>
      <w:r w:rsidRPr="00D25025">
        <w:rPr>
          <w:sz w:val="20"/>
          <w:szCs w:val="20"/>
        </w:rPr>
        <w:t>[...]</w:t>
      </w:r>
    </w:p>
    <w:p w14:paraId="7D211F71" w14:textId="77777777" w:rsidR="002B7182" w:rsidRPr="00FC6390" w:rsidRDefault="002B7182" w:rsidP="002B7182">
      <w:pPr>
        <w:pStyle w:val="Textonotapie"/>
        <w:rPr>
          <w:sz w:val="20"/>
          <w:szCs w:val="20"/>
        </w:rPr>
      </w:pPr>
      <w:r w:rsidRPr="00D25025">
        <w:rPr>
          <w:b/>
          <w:sz w:val="20"/>
          <w:szCs w:val="20"/>
        </w:rPr>
        <w:t>II.-</w:t>
      </w:r>
      <w:r w:rsidRPr="00D25025">
        <w:rPr>
          <w:sz w:val="20"/>
          <w:szCs w:val="20"/>
        </w:rPr>
        <w:t xml:space="preserve"> Cuando durante el ejercicio apareciere o sobreviniere alguna de las causas de improcedencia a que se refiere el artículo anterior.</w:t>
      </w:r>
    </w:p>
  </w:footnote>
  <w:footnote w:id="29">
    <w:p w14:paraId="5E303EEB" w14:textId="0E5C7414" w:rsidR="00804F2F" w:rsidRPr="00353136" w:rsidRDefault="00804F2F" w:rsidP="00804F2F">
      <w:pPr>
        <w:spacing w:line="240" w:lineRule="auto"/>
        <w:rPr>
          <w:sz w:val="20"/>
          <w:szCs w:val="20"/>
          <w:lang w:val="es-ES_tradnl"/>
        </w:rPr>
      </w:pPr>
      <w:r w:rsidRPr="00353136">
        <w:rPr>
          <w:rStyle w:val="Refdenotaalpie"/>
          <w:sz w:val="20"/>
          <w:szCs w:val="20"/>
        </w:rPr>
        <w:footnoteRef/>
      </w:r>
      <w:r w:rsidRPr="00353136">
        <w:rPr>
          <w:sz w:val="20"/>
          <w:szCs w:val="20"/>
        </w:rPr>
        <w:t xml:space="preserve"> </w:t>
      </w:r>
      <w:r w:rsidR="002D5F5B" w:rsidRPr="00353136">
        <w:rPr>
          <w:sz w:val="20"/>
          <w:szCs w:val="20"/>
        </w:rPr>
        <w:t xml:space="preserve">Por las razones que la sustenta, </w:t>
      </w:r>
      <w:r w:rsidR="002D5F5B" w:rsidRPr="00353136">
        <w:rPr>
          <w:sz w:val="20"/>
          <w:szCs w:val="20"/>
          <w:lang w:val="es-ES_tradnl"/>
        </w:rPr>
        <w:t>v</w:t>
      </w:r>
      <w:r w:rsidRPr="00353136">
        <w:rPr>
          <w:sz w:val="20"/>
          <w:szCs w:val="20"/>
          <w:lang w:val="es-ES_tradnl"/>
        </w:rPr>
        <w:t xml:space="preserve">éase la tesis aislada de la Segunda Sala </w:t>
      </w:r>
      <w:r w:rsidRPr="00353136">
        <w:rPr>
          <w:sz w:val="20"/>
          <w:szCs w:val="20"/>
        </w:rPr>
        <w:t>2a. XLIII/2012 (10a.)</w:t>
      </w:r>
      <w:r w:rsidRPr="00353136">
        <w:rPr>
          <w:sz w:val="20"/>
          <w:szCs w:val="20"/>
          <w:lang w:val="es-ES_tradnl"/>
        </w:rPr>
        <w:t xml:space="preserve"> cuyo rubro es: </w:t>
      </w:r>
      <w:r w:rsidRPr="00353136">
        <w:rPr>
          <w:b/>
          <w:bCs/>
          <w:sz w:val="20"/>
          <w:szCs w:val="20"/>
          <w:lang w:val="es-ES_tradnl"/>
        </w:rPr>
        <w:t>“</w:t>
      </w:r>
      <w:r w:rsidRPr="00353136">
        <w:rPr>
          <w:b/>
          <w:bCs/>
          <w:sz w:val="20"/>
          <w:szCs w:val="20"/>
        </w:rPr>
        <w:t>CONTROVERSIA CONSTITUCIONAL. DEBE SOBRESEERSE EN EL JUICIO CUANDO SE IMPUGNAN ACTOS CUYOS EFECTOS HAN CESADO ANTE LA EMISIÓN DE UNA SENTENCIA DEFINITIVA EN UN JUICIO DE AMPARO.”</w:t>
      </w:r>
      <w:r w:rsidRPr="00353136">
        <w:rPr>
          <w:sz w:val="20"/>
          <w:szCs w:val="20"/>
          <w:lang w:val="es-ES_tradnl"/>
        </w:rPr>
        <w:t xml:space="preserve">. </w:t>
      </w:r>
      <w:r w:rsidRPr="00353136">
        <w:rPr>
          <w:i/>
          <w:iCs/>
          <w:sz w:val="20"/>
          <w:szCs w:val="20"/>
          <w:lang w:val="es-ES_tradnl"/>
        </w:rPr>
        <w:t>Semanario Judicial de la Federación y su Gaceta</w:t>
      </w:r>
      <w:r w:rsidRPr="00353136">
        <w:rPr>
          <w:sz w:val="20"/>
          <w:szCs w:val="20"/>
          <w:lang w:val="es-ES_tradnl"/>
        </w:rPr>
        <w:t xml:space="preserve">, </w:t>
      </w:r>
      <w:r w:rsidRPr="00353136">
        <w:rPr>
          <w:sz w:val="20"/>
          <w:szCs w:val="20"/>
        </w:rPr>
        <w:t xml:space="preserve">libro IX, tomo 1, junio de dos mil doce, página 603.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E297" w14:textId="0032FFAA" w:rsidR="00C3648B" w:rsidRPr="00F01D7C" w:rsidRDefault="009A2A48" w:rsidP="00A755E1">
    <w:pPr>
      <w:jc w:val="center"/>
      <w:rPr>
        <w:b/>
      </w:rPr>
    </w:pPr>
    <w:r>
      <w:rPr>
        <w:b/>
      </w:rPr>
      <w:t>CONTROVERSIA CONSTITUCIONAL</w:t>
    </w:r>
    <w:r w:rsidR="00F15FD9">
      <w:rPr>
        <w:b/>
      </w:rPr>
      <w:t xml:space="preserve"> </w:t>
    </w:r>
    <w:r w:rsidR="004A2041">
      <w:rPr>
        <w:b/>
      </w:rPr>
      <w:t>171/2021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E7602"/>
    <w:multiLevelType w:val="hybridMultilevel"/>
    <w:tmpl w:val="0C06A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68235C"/>
    <w:multiLevelType w:val="hybridMultilevel"/>
    <w:tmpl w:val="E0F48F82"/>
    <w:lvl w:ilvl="0" w:tplc="3DEE561C">
      <w:start w:val="7"/>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837EC5"/>
    <w:multiLevelType w:val="hybridMultilevel"/>
    <w:tmpl w:val="21F4D0E6"/>
    <w:lvl w:ilvl="0" w:tplc="A54830FA">
      <w:start w:val="1"/>
      <w:numFmt w:val="decimal"/>
      <w:lvlText w:val="%1."/>
      <w:lvlJc w:val="left"/>
      <w:pPr>
        <w:ind w:left="1637" w:hanging="360"/>
      </w:pPr>
      <w:rPr>
        <w:i w:val="0"/>
        <w:sz w:val="26"/>
        <w:szCs w:val="26"/>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E1B09C9"/>
    <w:multiLevelType w:val="hybridMultilevel"/>
    <w:tmpl w:val="C3A2A230"/>
    <w:lvl w:ilvl="0" w:tplc="A0E63544">
      <w:start w:val="1"/>
      <w:numFmt w:val="lowerLetter"/>
      <w:lvlText w:val="%1)"/>
      <w:lvlJc w:val="left"/>
      <w:pPr>
        <w:ind w:left="502" w:hanging="360"/>
      </w:pPr>
      <w:rPr>
        <w:rFonts w:hint="default"/>
        <w:b/>
      </w:rPr>
    </w:lvl>
    <w:lvl w:ilvl="1" w:tplc="080A0019">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4B6523BC"/>
    <w:multiLevelType w:val="hybridMultilevel"/>
    <w:tmpl w:val="056C640C"/>
    <w:lvl w:ilvl="0" w:tplc="45CC215A">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23913C9"/>
    <w:multiLevelType w:val="hybridMultilevel"/>
    <w:tmpl w:val="21F4D0E6"/>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BC860FA"/>
    <w:multiLevelType w:val="hybridMultilevel"/>
    <w:tmpl w:val="21F4D0E6"/>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F4067A9"/>
    <w:multiLevelType w:val="hybridMultilevel"/>
    <w:tmpl w:val="FA0A174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5F940944"/>
    <w:multiLevelType w:val="hybridMultilevel"/>
    <w:tmpl w:val="8618C65A"/>
    <w:lvl w:ilvl="0" w:tplc="EE6C5BBA">
      <w:start w:val="1"/>
      <w:numFmt w:val="decimal"/>
      <w:lvlText w:val="%1."/>
      <w:lvlJc w:val="left"/>
      <w:pPr>
        <w:ind w:left="502" w:hanging="360"/>
      </w:pPr>
      <w:rPr>
        <w:rFonts w:hint="default"/>
        <w:b/>
        <w:i w:val="0"/>
        <w:spacing w:val="0"/>
        <w:sz w:val="26"/>
      </w:rPr>
    </w:lvl>
    <w:lvl w:ilvl="1" w:tplc="B36CCF96">
      <w:start w:val="1"/>
      <w:numFmt w:val="lowerLetter"/>
      <w:lvlText w:val="%2)"/>
      <w:lvlJc w:val="left"/>
      <w:pPr>
        <w:ind w:left="654" w:hanging="360"/>
      </w:pPr>
      <w:rPr>
        <w:rFonts w:hint="default"/>
        <w:b w:val="0"/>
      </w:rPr>
    </w:lvl>
    <w:lvl w:ilvl="2" w:tplc="080A001B">
      <w:start w:val="1"/>
      <w:numFmt w:val="lowerRoman"/>
      <w:lvlText w:val="%3."/>
      <w:lvlJc w:val="right"/>
      <w:pPr>
        <w:ind w:left="1374" w:hanging="180"/>
      </w:pPr>
    </w:lvl>
    <w:lvl w:ilvl="3" w:tplc="080A000F">
      <w:start w:val="1"/>
      <w:numFmt w:val="decimal"/>
      <w:lvlText w:val="%4."/>
      <w:lvlJc w:val="left"/>
      <w:pPr>
        <w:ind w:left="2094" w:hanging="360"/>
      </w:pPr>
    </w:lvl>
    <w:lvl w:ilvl="4" w:tplc="080A0019">
      <w:start w:val="1"/>
      <w:numFmt w:val="lowerLetter"/>
      <w:lvlText w:val="%5."/>
      <w:lvlJc w:val="left"/>
      <w:pPr>
        <w:ind w:left="2814" w:hanging="360"/>
      </w:pPr>
    </w:lvl>
    <w:lvl w:ilvl="5" w:tplc="080A001B">
      <w:start w:val="1"/>
      <w:numFmt w:val="lowerRoman"/>
      <w:lvlText w:val="%6."/>
      <w:lvlJc w:val="right"/>
      <w:pPr>
        <w:ind w:left="3534" w:hanging="180"/>
      </w:pPr>
    </w:lvl>
    <w:lvl w:ilvl="6" w:tplc="080A000F">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9"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86992656">
    <w:abstractNumId w:val="9"/>
  </w:num>
  <w:num w:numId="2" w16cid:durableId="1705909350">
    <w:abstractNumId w:val="6"/>
  </w:num>
  <w:num w:numId="3" w16cid:durableId="123933348">
    <w:abstractNumId w:val="1"/>
  </w:num>
  <w:num w:numId="4" w16cid:durableId="2074810584">
    <w:abstractNumId w:val="0"/>
  </w:num>
  <w:num w:numId="5" w16cid:durableId="461726023">
    <w:abstractNumId w:val="7"/>
  </w:num>
  <w:num w:numId="6" w16cid:durableId="1579243587">
    <w:abstractNumId w:val="5"/>
  </w:num>
  <w:num w:numId="7" w16cid:durableId="18943912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4734413">
    <w:abstractNumId w:val="1"/>
  </w:num>
  <w:num w:numId="9" w16cid:durableId="626206329">
    <w:abstractNumId w:val="8"/>
  </w:num>
  <w:num w:numId="10" w16cid:durableId="2910612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0782764">
    <w:abstractNumId w:val="3"/>
  </w:num>
  <w:num w:numId="12" w16cid:durableId="1066948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41"/>
    <w:rsid w:val="000143AB"/>
    <w:rsid w:val="000205D2"/>
    <w:rsid w:val="000269BE"/>
    <w:rsid w:val="00042DD8"/>
    <w:rsid w:val="000643EC"/>
    <w:rsid w:val="000755BE"/>
    <w:rsid w:val="00076346"/>
    <w:rsid w:val="0008377B"/>
    <w:rsid w:val="000B4F18"/>
    <w:rsid w:val="000E2ED1"/>
    <w:rsid w:val="000E3CF7"/>
    <w:rsid w:val="0010458F"/>
    <w:rsid w:val="00110116"/>
    <w:rsid w:val="0013265F"/>
    <w:rsid w:val="00132AF7"/>
    <w:rsid w:val="00135DB6"/>
    <w:rsid w:val="00157D2F"/>
    <w:rsid w:val="00195620"/>
    <w:rsid w:val="001970EA"/>
    <w:rsid w:val="001B7B6A"/>
    <w:rsid w:val="001C21BA"/>
    <w:rsid w:val="001D09FE"/>
    <w:rsid w:val="001D34D0"/>
    <w:rsid w:val="001D6844"/>
    <w:rsid w:val="001D7D87"/>
    <w:rsid w:val="001E555F"/>
    <w:rsid w:val="00204373"/>
    <w:rsid w:val="00205395"/>
    <w:rsid w:val="00206DA4"/>
    <w:rsid w:val="0021707E"/>
    <w:rsid w:val="002364FF"/>
    <w:rsid w:val="00257714"/>
    <w:rsid w:val="002618D6"/>
    <w:rsid w:val="0026414A"/>
    <w:rsid w:val="0026568A"/>
    <w:rsid w:val="00274124"/>
    <w:rsid w:val="002744BF"/>
    <w:rsid w:val="002B7182"/>
    <w:rsid w:val="002C10B1"/>
    <w:rsid w:val="002D5F5B"/>
    <w:rsid w:val="002D7364"/>
    <w:rsid w:val="002E1517"/>
    <w:rsid w:val="002F1F1A"/>
    <w:rsid w:val="002F60E1"/>
    <w:rsid w:val="00300C99"/>
    <w:rsid w:val="00305816"/>
    <w:rsid w:val="00305F02"/>
    <w:rsid w:val="00315D0C"/>
    <w:rsid w:val="003268BC"/>
    <w:rsid w:val="003471F9"/>
    <w:rsid w:val="00353136"/>
    <w:rsid w:val="00354EA9"/>
    <w:rsid w:val="00375CF3"/>
    <w:rsid w:val="00383108"/>
    <w:rsid w:val="003866FE"/>
    <w:rsid w:val="00391408"/>
    <w:rsid w:val="00393800"/>
    <w:rsid w:val="00396A9D"/>
    <w:rsid w:val="003A0A42"/>
    <w:rsid w:val="003B3207"/>
    <w:rsid w:val="003C1193"/>
    <w:rsid w:val="003C4DE4"/>
    <w:rsid w:val="003C78BF"/>
    <w:rsid w:val="003D48C4"/>
    <w:rsid w:val="003D4B49"/>
    <w:rsid w:val="003E3505"/>
    <w:rsid w:val="003E6A85"/>
    <w:rsid w:val="003F4CAB"/>
    <w:rsid w:val="00404187"/>
    <w:rsid w:val="00406C61"/>
    <w:rsid w:val="00411EEC"/>
    <w:rsid w:val="004247EF"/>
    <w:rsid w:val="0043167C"/>
    <w:rsid w:val="0046132A"/>
    <w:rsid w:val="00463FEA"/>
    <w:rsid w:val="004741C4"/>
    <w:rsid w:val="004821B8"/>
    <w:rsid w:val="004847C2"/>
    <w:rsid w:val="00491581"/>
    <w:rsid w:val="004A2041"/>
    <w:rsid w:val="004A60CE"/>
    <w:rsid w:val="004D3CAC"/>
    <w:rsid w:val="004E5FA4"/>
    <w:rsid w:val="004F008F"/>
    <w:rsid w:val="00502E6A"/>
    <w:rsid w:val="00524F19"/>
    <w:rsid w:val="00547E45"/>
    <w:rsid w:val="00556DD5"/>
    <w:rsid w:val="0056368C"/>
    <w:rsid w:val="0058064A"/>
    <w:rsid w:val="00582CC8"/>
    <w:rsid w:val="00584620"/>
    <w:rsid w:val="005977F2"/>
    <w:rsid w:val="005A087B"/>
    <w:rsid w:val="005C0712"/>
    <w:rsid w:val="005D18F2"/>
    <w:rsid w:val="005E445D"/>
    <w:rsid w:val="005E5113"/>
    <w:rsid w:val="006018EA"/>
    <w:rsid w:val="006071FD"/>
    <w:rsid w:val="00623A54"/>
    <w:rsid w:val="00694F82"/>
    <w:rsid w:val="006B0B81"/>
    <w:rsid w:val="006C12D0"/>
    <w:rsid w:val="006C3017"/>
    <w:rsid w:val="006D01D9"/>
    <w:rsid w:val="006D5B38"/>
    <w:rsid w:val="006E6171"/>
    <w:rsid w:val="006F379D"/>
    <w:rsid w:val="00731DE9"/>
    <w:rsid w:val="007430C4"/>
    <w:rsid w:val="0075137E"/>
    <w:rsid w:val="00752ADC"/>
    <w:rsid w:val="00754601"/>
    <w:rsid w:val="00762D2A"/>
    <w:rsid w:val="00800FC3"/>
    <w:rsid w:val="00804F2F"/>
    <w:rsid w:val="00806CBF"/>
    <w:rsid w:val="00824573"/>
    <w:rsid w:val="0083324F"/>
    <w:rsid w:val="00840950"/>
    <w:rsid w:val="0084287A"/>
    <w:rsid w:val="0084509E"/>
    <w:rsid w:val="0086247E"/>
    <w:rsid w:val="008625C1"/>
    <w:rsid w:val="008718EA"/>
    <w:rsid w:val="00877D1A"/>
    <w:rsid w:val="008808A4"/>
    <w:rsid w:val="008816EF"/>
    <w:rsid w:val="008A156D"/>
    <w:rsid w:val="008C2DB4"/>
    <w:rsid w:val="008C41EE"/>
    <w:rsid w:val="008D14ED"/>
    <w:rsid w:val="008D7988"/>
    <w:rsid w:val="009018E3"/>
    <w:rsid w:val="009035DD"/>
    <w:rsid w:val="0092420B"/>
    <w:rsid w:val="0092740C"/>
    <w:rsid w:val="00945F2F"/>
    <w:rsid w:val="0095050E"/>
    <w:rsid w:val="00964469"/>
    <w:rsid w:val="0098420A"/>
    <w:rsid w:val="009A2A48"/>
    <w:rsid w:val="009C5EE1"/>
    <w:rsid w:val="009E48E6"/>
    <w:rsid w:val="009F35E1"/>
    <w:rsid w:val="00A43D19"/>
    <w:rsid w:val="00A755E1"/>
    <w:rsid w:val="00A82847"/>
    <w:rsid w:val="00A83ECB"/>
    <w:rsid w:val="00A8780A"/>
    <w:rsid w:val="00AB2A57"/>
    <w:rsid w:val="00AD0AAB"/>
    <w:rsid w:val="00AE5D1D"/>
    <w:rsid w:val="00AE6902"/>
    <w:rsid w:val="00AE77A0"/>
    <w:rsid w:val="00B2376E"/>
    <w:rsid w:val="00B33422"/>
    <w:rsid w:val="00B3620A"/>
    <w:rsid w:val="00B42C3C"/>
    <w:rsid w:val="00B50CA8"/>
    <w:rsid w:val="00B81799"/>
    <w:rsid w:val="00B916D3"/>
    <w:rsid w:val="00B971F6"/>
    <w:rsid w:val="00B97E0A"/>
    <w:rsid w:val="00BA12FC"/>
    <w:rsid w:val="00BA618C"/>
    <w:rsid w:val="00BA6EC1"/>
    <w:rsid w:val="00BB7CC0"/>
    <w:rsid w:val="00BC6F91"/>
    <w:rsid w:val="00C106C9"/>
    <w:rsid w:val="00C15888"/>
    <w:rsid w:val="00C3648B"/>
    <w:rsid w:val="00C42DB9"/>
    <w:rsid w:val="00C47C73"/>
    <w:rsid w:val="00C53374"/>
    <w:rsid w:val="00C53666"/>
    <w:rsid w:val="00C64A4A"/>
    <w:rsid w:val="00C64B3C"/>
    <w:rsid w:val="00CA01AA"/>
    <w:rsid w:val="00CA0B08"/>
    <w:rsid w:val="00CB49D2"/>
    <w:rsid w:val="00CE53C8"/>
    <w:rsid w:val="00D13E08"/>
    <w:rsid w:val="00D16F9F"/>
    <w:rsid w:val="00D2791C"/>
    <w:rsid w:val="00D72F13"/>
    <w:rsid w:val="00D9100D"/>
    <w:rsid w:val="00DA2165"/>
    <w:rsid w:val="00DA70BC"/>
    <w:rsid w:val="00DB2423"/>
    <w:rsid w:val="00E14332"/>
    <w:rsid w:val="00E552E0"/>
    <w:rsid w:val="00E71FA7"/>
    <w:rsid w:val="00E74D7F"/>
    <w:rsid w:val="00E8122B"/>
    <w:rsid w:val="00E83594"/>
    <w:rsid w:val="00E96318"/>
    <w:rsid w:val="00EA142D"/>
    <w:rsid w:val="00EB7781"/>
    <w:rsid w:val="00EC3D19"/>
    <w:rsid w:val="00ED4595"/>
    <w:rsid w:val="00EF2CDD"/>
    <w:rsid w:val="00F11FF2"/>
    <w:rsid w:val="00F15FD9"/>
    <w:rsid w:val="00F45ED5"/>
    <w:rsid w:val="00F62A2D"/>
    <w:rsid w:val="00F67171"/>
    <w:rsid w:val="00F76BB3"/>
    <w:rsid w:val="00F76FD6"/>
    <w:rsid w:val="00F83183"/>
    <w:rsid w:val="00F8338A"/>
    <w:rsid w:val="00F851B2"/>
    <w:rsid w:val="00F921F9"/>
    <w:rsid w:val="00FA36E3"/>
    <w:rsid w:val="00FB73D9"/>
    <w:rsid w:val="00FD2E18"/>
    <w:rsid w:val="00FD4124"/>
    <w:rsid w:val="00FD418B"/>
    <w:rsid w:val="00FE2B4D"/>
    <w:rsid w:val="00FE68FF"/>
    <w:rsid w:val="00FF5E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BDE3"/>
  <w15:docId w15:val="{559294A9-3490-420D-A8EC-033EC429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D9"/>
    <w:pPr>
      <w:spacing w:before="60" w:after="60" w:line="276" w:lineRule="auto"/>
      <w:jc w:val="both"/>
    </w:pPr>
    <w:rPr>
      <w:rFonts w:ascii="Arial" w:hAnsi="Arial" w:cs="Arial"/>
      <w:sz w:val="24"/>
      <w:szCs w:val="24"/>
    </w:rPr>
  </w:style>
  <w:style w:type="paragraph" w:styleId="Ttulo1">
    <w:name w:val="heading 1"/>
    <w:basedOn w:val="Normal"/>
    <w:next w:val="Normal"/>
    <w:link w:val="Ttulo1Car"/>
    <w:uiPriority w:val="1"/>
    <w:qFormat/>
    <w:rsid w:val="00F15FD9"/>
    <w:pPr>
      <w:spacing w:before="0" w:after="0" w:line="240" w:lineRule="auto"/>
      <w:ind w:left="4536"/>
      <w:outlineLvl w:val="0"/>
    </w:pPr>
    <w:rPr>
      <w:b/>
      <w:sz w:val="26"/>
      <w:szCs w:val="26"/>
    </w:rPr>
  </w:style>
  <w:style w:type="paragraph" w:styleId="Ttulo2">
    <w:name w:val="heading 2"/>
    <w:basedOn w:val="Normal"/>
    <w:next w:val="Normal"/>
    <w:link w:val="Ttulo2Car"/>
    <w:uiPriority w:val="1"/>
    <w:unhideWhenUsed/>
    <w:qFormat/>
    <w:rsid w:val="00F15FD9"/>
    <w:pPr>
      <w:spacing w:before="360" w:after="360"/>
      <w:jc w:val="center"/>
      <w:outlineLvl w:val="1"/>
    </w:pPr>
    <w:rPr>
      <w:rFonts w:ascii="Arial Negrita" w:hAnsi="Arial Negrita"/>
      <w:b/>
      <w:spacing w:val="60"/>
      <w:sz w:val="26"/>
      <w:szCs w:val="26"/>
    </w:rPr>
  </w:style>
  <w:style w:type="paragraph" w:styleId="Ttulo3">
    <w:name w:val="heading 3"/>
    <w:basedOn w:val="Prrafodelista"/>
    <w:next w:val="Normal"/>
    <w:link w:val="Ttulo3Car"/>
    <w:uiPriority w:val="1"/>
    <w:unhideWhenUsed/>
    <w:qFormat/>
    <w:rsid w:val="00F15FD9"/>
    <w:pPr>
      <w:numPr>
        <w:numId w:val="1"/>
      </w:numPr>
      <w:spacing w:before="360" w:after="360" w:line="360" w:lineRule="auto"/>
      <w:jc w:val="center"/>
      <w:outlineLvl w:val="2"/>
    </w:pPr>
    <w:rPr>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15FD9"/>
    <w:rPr>
      <w:rFonts w:ascii="Arial" w:hAnsi="Arial" w:cs="Arial"/>
      <w:b/>
      <w:sz w:val="26"/>
      <w:szCs w:val="26"/>
    </w:rPr>
  </w:style>
  <w:style w:type="character" w:customStyle="1" w:styleId="Ttulo2Car">
    <w:name w:val="Título 2 Car"/>
    <w:basedOn w:val="Fuentedeprrafopredeter"/>
    <w:link w:val="Ttulo2"/>
    <w:uiPriority w:val="1"/>
    <w:rsid w:val="00F15FD9"/>
    <w:rPr>
      <w:rFonts w:ascii="Arial Negrita" w:hAnsi="Arial Negrita" w:cs="Arial"/>
      <w:b/>
      <w:spacing w:val="60"/>
      <w:sz w:val="26"/>
      <w:szCs w:val="26"/>
    </w:rPr>
  </w:style>
  <w:style w:type="character" w:customStyle="1" w:styleId="Ttulo3Car">
    <w:name w:val="Título 3 Car"/>
    <w:basedOn w:val="Fuentedeprrafopredeter"/>
    <w:link w:val="Ttulo3"/>
    <w:uiPriority w:val="1"/>
    <w:rsid w:val="00F15FD9"/>
    <w:rPr>
      <w:rFonts w:ascii="Arial" w:hAnsi="Arial" w:cs="Arial"/>
      <w:b/>
      <w:sz w:val="26"/>
      <w:szCs w:val="26"/>
    </w:rPr>
  </w:style>
  <w:style w:type="paragraph" w:styleId="Sinespaciado">
    <w:name w:val="No Spacing"/>
    <w:basedOn w:val="Normal"/>
    <w:link w:val="SinespaciadoCar"/>
    <w:uiPriority w:val="1"/>
    <w:qFormat/>
    <w:rsid w:val="00F15FD9"/>
    <w:pPr>
      <w:spacing w:before="0" w:after="0"/>
    </w:pPr>
    <w:rPr>
      <w:sz w:val="16"/>
      <w:szCs w:val="16"/>
    </w:rPr>
  </w:style>
  <w:style w:type="paragraph" w:customStyle="1" w:styleId="Prrafo">
    <w:name w:val="Párrafo"/>
    <w:basedOn w:val="Normal"/>
    <w:qFormat/>
    <w:rsid w:val="00F15FD9"/>
    <w:pPr>
      <w:spacing w:before="240" w:after="240" w:line="360" w:lineRule="auto"/>
    </w:pPr>
    <w:rPr>
      <w:sz w:val="26"/>
      <w:szCs w:val="26"/>
    </w:rPr>
  </w:style>
  <w:style w:type="paragraph" w:styleId="Piedepgina">
    <w:name w:val="footer"/>
    <w:basedOn w:val="Normal"/>
    <w:link w:val="PiedepginaCar"/>
    <w:uiPriority w:val="99"/>
    <w:unhideWhenUsed/>
    <w:rsid w:val="00F15FD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15FD9"/>
    <w:rPr>
      <w:rFonts w:ascii="Arial" w:hAnsi="Arial" w:cs="Arial"/>
      <w:sz w:val="24"/>
      <w:szCs w:val="24"/>
    </w:rPr>
  </w:style>
  <w:style w:type="table" w:styleId="Tablaconcuadrcula">
    <w:name w:val="Table Grid"/>
    <w:basedOn w:val="Tablanormal"/>
    <w:uiPriority w:val="39"/>
    <w:rsid w:val="00F15FD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ita texto,TEXTO GENERAL SENTENCIAS,Lista vistosa - Énfasis 11,Párrafo de lista2,Párrafo de lista1,List Paragraph,List Paragraph1,Colorful List - Accent 11,Cuadrícula clara - Énfasis 31,Lista multicolor - Énfasis 11,Dot pt,No Spacing1"/>
    <w:basedOn w:val="Normal"/>
    <w:link w:val="PrrafodelistaCar"/>
    <w:uiPriority w:val="34"/>
    <w:qFormat/>
    <w:rsid w:val="00F15FD9"/>
    <w:pPr>
      <w:ind w:left="720"/>
      <w:contextualSpacing/>
    </w:pPr>
  </w:style>
  <w:style w:type="paragraph" w:styleId="Encabezado">
    <w:name w:val="header"/>
    <w:basedOn w:val="Normal"/>
    <w:link w:val="EncabezadoCar"/>
    <w:uiPriority w:val="99"/>
    <w:unhideWhenUsed/>
    <w:rsid w:val="00F15FD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15FD9"/>
    <w:rPr>
      <w:rFonts w:ascii="Arial" w:hAnsi="Arial" w:cs="Arial"/>
      <w:sz w:val="24"/>
      <w:szCs w:val="24"/>
    </w:rPr>
  </w:style>
  <w:style w:type="paragraph" w:styleId="Revisin">
    <w:name w:val="Revision"/>
    <w:hidden/>
    <w:uiPriority w:val="99"/>
    <w:semiHidden/>
    <w:rsid w:val="00F851B2"/>
    <w:pPr>
      <w:spacing w:after="0" w:line="240" w:lineRule="auto"/>
    </w:pPr>
    <w:rPr>
      <w:rFonts w:ascii="Arial" w:hAnsi="Arial" w:cs="Arial"/>
      <w:sz w:val="24"/>
      <w:szCs w:val="24"/>
    </w:rPr>
  </w:style>
  <w:style w:type="character" w:styleId="Refdecomentario">
    <w:name w:val="annotation reference"/>
    <w:basedOn w:val="Fuentedeprrafopredeter"/>
    <w:uiPriority w:val="99"/>
    <w:semiHidden/>
    <w:unhideWhenUsed/>
    <w:rsid w:val="00F851B2"/>
    <w:rPr>
      <w:sz w:val="16"/>
      <w:szCs w:val="16"/>
    </w:rPr>
  </w:style>
  <w:style w:type="paragraph" w:styleId="Textocomentario">
    <w:name w:val="annotation text"/>
    <w:basedOn w:val="Normal"/>
    <w:link w:val="TextocomentarioCar"/>
    <w:uiPriority w:val="99"/>
    <w:semiHidden/>
    <w:unhideWhenUsed/>
    <w:rsid w:val="00F851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51B2"/>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F851B2"/>
    <w:rPr>
      <w:b/>
      <w:bCs/>
    </w:rPr>
  </w:style>
  <w:style w:type="character" w:customStyle="1" w:styleId="AsuntodelcomentarioCar">
    <w:name w:val="Asunto del comentario Car"/>
    <w:basedOn w:val="TextocomentarioCar"/>
    <w:link w:val="Asuntodelcomentario"/>
    <w:uiPriority w:val="99"/>
    <w:semiHidden/>
    <w:rsid w:val="00F851B2"/>
    <w:rPr>
      <w:rFonts w:ascii="Arial" w:hAnsi="Arial" w:cs="Arial"/>
      <w:b/>
      <w:bCs/>
      <w:sz w:val="20"/>
      <w:szCs w:val="20"/>
    </w:rPr>
  </w:style>
  <w:style w:type="character" w:styleId="Textodelmarcadordeposicin">
    <w:name w:val="Placeholder Text"/>
    <w:basedOn w:val="Fuentedeprrafopredeter"/>
    <w:uiPriority w:val="99"/>
    <w:semiHidden/>
    <w:rsid w:val="003C4DE4"/>
    <w:rPr>
      <w:color w:val="808080"/>
    </w:rPr>
  </w:style>
  <w:style w:type="paragraph" w:styleId="Textoindependiente">
    <w:name w:val="Body Text"/>
    <w:basedOn w:val="Normal"/>
    <w:link w:val="TextoindependienteCar"/>
    <w:uiPriority w:val="1"/>
    <w:qFormat/>
    <w:rsid w:val="00D9100D"/>
    <w:pPr>
      <w:widowControl w:val="0"/>
      <w:spacing w:before="0" w:after="0" w:line="240" w:lineRule="auto"/>
      <w:ind w:left="540" w:hanging="427"/>
      <w:jc w:val="left"/>
    </w:pPr>
    <w:rPr>
      <w:rFonts w:eastAsia="Arial" w:cstheme="minorBidi"/>
      <w:sz w:val="26"/>
      <w:szCs w:val="26"/>
      <w:lang w:val="en-US"/>
    </w:rPr>
  </w:style>
  <w:style w:type="character" w:customStyle="1" w:styleId="TextoindependienteCar">
    <w:name w:val="Texto independiente Car"/>
    <w:basedOn w:val="Fuentedeprrafopredeter"/>
    <w:link w:val="Textoindependiente"/>
    <w:uiPriority w:val="1"/>
    <w:rsid w:val="00D9100D"/>
    <w:rPr>
      <w:rFonts w:ascii="Arial" w:eastAsia="Arial" w:hAnsi="Arial"/>
      <w:sz w:val="26"/>
      <w:szCs w:val="26"/>
      <w:lang w:val="en-US"/>
    </w:rPr>
  </w:style>
  <w:style w:type="paragraph" w:customStyle="1" w:styleId="corte2ponente">
    <w:name w:val="corte2 ponente"/>
    <w:basedOn w:val="Normal"/>
    <w:link w:val="corte2ponenteCar"/>
    <w:uiPriority w:val="99"/>
    <w:rsid w:val="00404187"/>
    <w:pPr>
      <w:spacing w:before="0" w:after="0" w:line="240" w:lineRule="auto"/>
    </w:pPr>
    <w:rPr>
      <w:rFonts w:asciiTheme="minorHAnsi" w:eastAsia="Times New Roman" w:hAnsiTheme="minorHAnsi" w:cs="Times New Roman"/>
      <w:b/>
      <w:caps/>
      <w:sz w:val="30"/>
      <w:szCs w:val="20"/>
      <w:lang w:eastAsia="es-MX"/>
    </w:rPr>
  </w:style>
  <w:style w:type="character" w:customStyle="1" w:styleId="corte2ponenteCar">
    <w:name w:val="corte2 ponente Car"/>
    <w:link w:val="corte2ponente"/>
    <w:uiPriority w:val="99"/>
    <w:rsid w:val="00404187"/>
    <w:rPr>
      <w:rFonts w:eastAsia="Times New Roman" w:cs="Times New Roman"/>
      <w:b/>
      <w:caps/>
      <w:sz w:val="30"/>
      <w:szCs w:val="20"/>
      <w:lang w:eastAsia="es-MX"/>
    </w:rPr>
  </w:style>
  <w:style w:type="character" w:customStyle="1" w:styleId="PrrafodelistaCar">
    <w:name w:val="Párrafo de lista Car"/>
    <w:aliases w:val="Cita texto Car,TEXTO GENERAL SENTENCIAS Car,Lista vistosa - Énfasis 11 Car,Párrafo de lista2 Car,Párrafo de lista1 Car,List Paragraph Car,List Paragraph1 Car,Colorful List - Accent 11 Car,Cuadrícula clara - Énfasis 31 Car,Dot pt Car"/>
    <w:basedOn w:val="Fuentedeprrafopredeter"/>
    <w:link w:val="Prrafodelista"/>
    <w:uiPriority w:val="34"/>
    <w:qFormat/>
    <w:locked/>
    <w:rsid w:val="00B50CA8"/>
    <w:rPr>
      <w:rFonts w:ascii="Arial" w:hAnsi="Arial" w:cs="Arial"/>
      <w:sz w:val="24"/>
      <w:szCs w:val="24"/>
    </w:rPr>
  </w:style>
  <w:style w:type="paragraph" w:styleId="Textonotapie">
    <w:name w:val="footnote text"/>
    <w:aliases w:val="Footnote,Footnote reference,FA Fu,Footnote Text Char Char Char Char Char,Footnote Text Char Char Char Char Car,Footnote Text Char Char Char Char,Car,Footnote Text Char Char Char,Car Car Car,Footnote Text Cha,FA Fußnotentext, Car,Ca,C"/>
    <w:basedOn w:val="Normal"/>
    <w:link w:val="TextonotapieCar1"/>
    <w:uiPriority w:val="99"/>
    <w:qFormat/>
    <w:rsid w:val="00B50CA8"/>
    <w:pPr>
      <w:tabs>
        <w:tab w:val="left" w:pos="0"/>
      </w:tabs>
      <w:spacing w:before="0" w:after="0" w:line="240" w:lineRule="auto"/>
    </w:pPr>
    <w:rPr>
      <w:rFonts w:eastAsia="Times New Roman"/>
      <w:sz w:val="18"/>
      <w:szCs w:val="18"/>
      <w:lang w:eastAsia="es-MX"/>
    </w:rPr>
  </w:style>
  <w:style w:type="character" w:customStyle="1" w:styleId="TextonotapieCar">
    <w:name w:val="Texto nota pie Car"/>
    <w:basedOn w:val="Fuentedeprrafopredeter"/>
    <w:uiPriority w:val="99"/>
    <w:semiHidden/>
    <w:rsid w:val="00B50CA8"/>
    <w:rPr>
      <w:rFonts w:ascii="Arial" w:hAnsi="Arial" w:cs="Arial"/>
      <w:sz w:val="20"/>
      <w:szCs w:val="20"/>
    </w:rPr>
  </w:style>
  <w:style w:type="character" w:customStyle="1" w:styleId="TextonotapieCar1">
    <w:name w:val="Texto nota pie Car1"/>
    <w:aliases w:val="Footnote Car,Footnote reference Car,FA Fu Car,Footnote Text Char Char Char Char Char Car,Footnote Text Char Char Char Char Car Car,Footnote Text Char Char Char Char Car1,Car Car,Footnote Text Char Char Char Car,Car Car Car Car,Ca Car"/>
    <w:link w:val="Textonotapie"/>
    <w:uiPriority w:val="99"/>
    <w:locked/>
    <w:rsid w:val="00B50CA8"/>
    <w:rPr>
      <w:rFonts w:ascii="Arial" w:eastAsia="Times New Roman" w:hAnsi="Arial" w:cs="Arial"/>
      <w:sz w:val="18"/>
      <w:szCs w:val="18"/>
      <w:lang w:eastAsia="es-MX"/>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ftref,Stinking Styles6"/>
    <w:link w:val="4GChar"/>
    <w:uiPriority w:val="99"/>
    <w:qFormat/>
    <w:rsid w:val="00B50CA8"/>
    <w:rPr>
      <w:rFonts w:ascii="Arial" w:hAnsi="Arial"/>
      <w:sz w:val="26"/>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B50CA8"/>
    <w:pPr>
      <w:spacing w:before="0" w:after="0" w:line="240" w:lineRule="auto"/>
    </w:pPr>
    <w:rPr>
      <w:rFonts w:cstheme="minorBidi"/>
      <w:sz w:val="26"/>
      <w:szCs w:val="22"/>
      <w:vertAlign w:val="superscript"/>
    </w:rPr>
  </w:style>
  <w:style w:type="character" w:customStyle="1" w:styleId="SinespaciadoCar">
    <w:name w:val="Sin espaciado Car"/>
    <w:link w:val="Sinespaciado"/>
    <w:uiPriority w:val="1"/>
    <w:locked/>
    <w:rsid w:val="00B50CA8"/>
    <w:rPr>
      <w:rFonts w:ascii="Arial" w:hAnsi="Arial" w:cs="Arial"/>
      <w:sz w:val="16"/>
      <w:szCs w:val="16"/>
    </w:rPr>
  </w:style>
  <w:style w:type="paragraph" w:customStyle="1" w:styleId="corte4fondo">
    <w:name w:val="corte4 fondo"/>
    <w:basedOn w:val="Normal"/>
    <w:link w:val="corte4fondoCar1"/>
    <w:qFormat/>
    <w:rsid w:val="00582CC8"/>
    <w:pPr>
      <w:spacing w:before="0" w:after="0" w:line="240" w:lineRule="auto"/>
    </w:pPr>
    <w:rPr>
      <w:rFonts w:eastAsia="Times New Roman" w:cs="Times New Roman"/>
      <w:sz w:val="22"/>
      <w:szCs w:val="20"/>
      <w:lang w:eastAsia="es-MX"/>
    </w:rPr>
  </w:style>
  <w:style w:type="character" w:customStyle="1" w:styleId="corte4fondoCar1">
    <w:name w:val="corte4 fondo Car1"/>
    <w:link w:val="corte4fondo"/>
    <w:rsid w:val="00582CC8"/>
    <w:rPr>
      <w:rFonts w:ascii="Arial" w:eastAsia="Times New Roman" w:hAnsi="Arial" w:cs="Times New Roman"/>
      <w:szCs w:val="20"/>
      <w:lang w:eastAsia="es-MX"/>
    </w:rPr>
  </w:style>
  <w:style w:type="character" w:customStyle="1" w:styleId="EstiloCar">
    <w:name w:val="Estilo Car"/>
    <w:link w:val="Estilo"/>
    <w:locked/>
    <w:rsid w:val="00582CC8"/>
    <w:rPr>
      <w:rFonts w:ascii="Arial" w:hAnsi="Arial" w:cs="Arial"/>
      <w:sz w:val="24"/>
      <w:lang w:val="x-none"/>
    </w:rPr>
  </w:style>
  <w:style w:type="paragraph" w:customStyle="1" w:styleId="Estilo">
    <w:name w:val="Estilo"/>
    <w:basedOn w:val="Sinespaciado"/>
    <w:link w:val="EstiloCar"/>
    <w:qFormat/>
    <w:rsid w:val="00582CC8"/>
    <w:pPr>
      <w:spacing w:line="240" w:lineRule="auto"/>
    </w:pPr>
    <w:rPr>
      <w:sz w:val="24"/>
      <w:szCs w:val="2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057">
      <w:bodyDiv w:val="1"/>
      <w:marLeft w:val="0"/>
      <w:marRight w:val="0"/>
      <w:marTop w:val="0"/>
      <w:marBottom w:val="0"/>
      <w:divBdr>
        <w:top w:val="none" w:sz="0" w:space="0" w:color="auto"/>
        <w:left w:val="none" w:sz="0" w:space="0" w:color="auto"/>
        <w:bottom w:val="none" w:sz="0" w:space="0" w:color="auto"/>
        <w:right w:val="none" w:sz="0" w:space="0" w:color="auto"/>
      </w:divBdr>
    </w:div>
    <w:div w:id="191847949">
      <w:bodyDiv w:val="1"/>
      <w:marLeft w:val="0"/>
      <w:marRight w:val="0"/>
      <w:marTop w:val="0"/>
      <w:marBottom w:val="0"/>
      <w:divBdr>
        <w:top w:val="none" w:sz="0" w:space="0" w:color="auto"/>
        <w:left w:val="none" w:sz="0" w:space="0" w:color="auto"/>
        <w:bottom w:val="none" w:sz="0" w:space="0" w:color="auto"/>
        <w:right w:val="none" w:sz="0" w:space="0" w:color="auto"/>
      </w:divBdr>
    </w:div>
    <w:div w:id="486363222">
      <w:bodyDiv w:val="1"/>
      <w:marLeft w:val="0"/>
      <w:marRight w:val="0"/>
      <w:marTop w:val="0"/>
      <w:marBottom w:val="0"/>
      <w:divBdr>
        <w:top w:val="none" w:sz="0" w:space="0" w:color="auto"/>
        <w:left w:val="none" w:sz="0" w:space="0" w:color="auto"/>
        <w:bottom w:val="none" w:sz="0" w:space="0" w:color="auto"/>
        <w:right w:val="none" w:sz="0" w:space="0" w:color="auto"/>
      </w:divBdr>
    </w:div>
    <w:div w:id="751119424">
      <w:bodyDiv w:val="1"/>
      <w:marLeft w:val="0"/>
      <w:marRight w:val="0"/>
      <w:marTop w:val="0"/>
      <w:marBottom w:val="0"/>
      <w:divBdr>
        <w:top w:val="none" w:sz="0" w:space="0" w:color="auto"/>
        <w:left w:val="none" w:sz="0" w:space="0" w:color="auto"/>
        <w:bottom w:val="none" w:sz="0" w:space="0" w:color="auto"/>
        <w:right w:val="none" w:sz="0" w:space="0" w:color="auto"/>
      </w:divBdr>
    </w:div>
    <w:div w:id="891893033">
      <w:bodyDiv w:val="1"/>
      <w:marLeft w:val="0"/>
      <w:marRight w:val="0"/>
      <w:marTop w:val="0"/>
      <w:marBottom w:val="0"/>
      <w:divBdr>
        <w:top w:val="none" w:sz="0" w:space="0" w:color="auto"/>
        <w:left w:val="none" w:sz="0" w:space="0" w:color="auto"/>
        <w:bottom w:val="none" w:sz="0" w:space="0" w:color="auto"/>
        <w:right w:val="none" w:sz="0" w:space="0" w:color="auto"/>
      </w:divBdr>
    </w:div>
    <w:div w:id="986201090">
      <w:bodyDiv w:val="1"/>
      <w:marLeft w:val="0"/>
      <w:marRight w:val="0"/>
      <w:marTop w:val="0"/>
      <w:marBottom w:val="0"/>
      <w:divBdr>
        <w:top w:val="none" w:sz="0" w:space="0" w:color="auto"/>
        <w:left w:val="none" w:sz="0" w:space="0" w:color="auto"/>
        <w:bottom w:val="none" w:sz="0" w:space="0" w:color="auto"/>
        <w:right w:val="none" w:sz="0" w:space="0" w:color="auto"/>
      </w:divBdr>
    </w:div>
    <w:div w:id="1013411885">
      <w:bodyDiv w:val="1"/>
      <w:marLeft w:val="0"/>
      <w:marRight w:val="0"/>
      <w:marTop w:val="0"/>
      <w:marBottom w:val="0"/>
      <w:divBdr>
        <w:top w:val="none" w:sz="0" w:space="0" w:color="auto"/>
        <w:left w:val="none" w:sz="0" w:space="0" w:color="auto"/>
        <w:bottom w:val="none" w:sz="0" w:space="0" w:color="auto"/>
        <w:right w:val="none" w:sz="0" w:space="0" w:color="auto"/>
      </w:divBdr>
    </w:div>
    <w:div w:id="1456631447">
      <w:bodyDiv w:val="1"/>
      <w:marLeft w:val="0"/>
      <w:marRight w:val="0"/>
      <w:marTop w:val="0"/>
      <w:marBottom w:val="0"/>
      <w:divBdr>
        <w:top w:val="none" w:sz="0" w:space="0" w:color="auto"/>
        <w:left w:val="none" w:sz="0" w:space="0" w:color="auto"/>
        <w:bottom w:val="none" w:sz="0" w:space="0" w:color="auto"/>
        <w:right w:val="none" w:sz="0" w:space="0" w:color="auto"/>
      </w:divBdr>
    </w:div>
    <w:div w:id="1637567236">
      <w:bodyDiv w:val="1"/>
      <w:marLeft w:val="0"/>
      <w:marRight w:val="0"/>
      <w:marTop w:val="0"/>
      <w:marBottom w:val="0"/>
      <w:divBdr>
        <w:top w:val="none" w:sz="0" w:space="0" w:color="auto"/>
        <w:left w:val="none" w:sz="0" w:space="0" w:color="auto"/>
        <w:bottom w:val="none" w:sz="0" w:space="0" w:color="auto"/>
        <w:right w:val="none" w:sz="0" w:space="0" w:color="auto"/>
      </w:divBdr>
    </w:div>
    <w:div w:id="1689410310">
      <w:bodyDiv w:val="1"/>
      <w:marLeft w:val="0"/>
      <w:marRight w:val="0"/>
      <w:marTop w:val="0"/>
      <w:marBottom w:val="0"/>
      <w:divBdr>
        <w:top w:val="none" w:sz="0" w:space="0" w:color="auto"/>
        <w:left w:val="none" w:sz="0" w:space="0" w:color="auto"/>
        <w:bottom w:val="none" w:sz="0" w:space="0" w:color="auto"/>
        <w:right w:val="none" w:sz="0" w:space="0" w:color="auto"/>
      </w:divBdr>
    </w:div>
    <w:div w:id="1798638857">
      <w:bodyDiv w:val="1"/>
      <w:marLeft w:val="0"/>
      <w:marRight w:val="0"/>
      <w:marTop w:val="0"/>
      <w:marBottom w:val="0"/>
      <w:divBdr>
        <w:top w:val="none" w:sz="0" w:space="0" w:color="auto"/>
        <w:left w:val="none" w:sz="0" w:space="0" w:color="auto"/>
        <w:bottom w:val="none" w:sz="0" w:space="0" w:color="auto"/>
        <w:right w:val="none" w:sz="0" w:space="0" w:color="auto"/>
      </w:divBdr>
    </w:div>
    <w:div w:id="1808013804">
      <w:bodyDiv w:val="1"/>
      <w:marLeft w:val="0"/>
      <w:marRight w:val="0"/>
      <w:marTop w:val="0"/>
      <w:marBottom w:val="0"/>
      <w:divBdr>
        <w:top w:val="none" w:sz="0" w:space="0" w:color="auto"/>
        <w:left w:val="none" w:sz="0" w:space="0" w:color="auto"/>
        <w:bottom w:val="none" w:sz="0" w:space="0" w:color="auto"/>
        <w:right w:val="none" w:sz="0" w:space="0" w:color="auto"/>
      </w:divBdr>
    </w:div>
    <w:div w:id="1889995318">
      <w:bodyDiv w:val="1"/>
      <w:marLeft w:val="0"/>
      <w:marRight w:val="0"/>
      <w:marTop w:val="0"/>
      <w:marBottom w:val="0"/>
      <w:divBdr>
        <w:top w:val="none" w:sz="0" w:space="0" w:color="auto"/>
        <w:left w:val="none" w:sz="0" w:space="0" w:color="auto"/>
        <w:bottom w:val="none" w:sz="0" w:space="0" w:color="auto"/>
        <w:right w:val="none" w:sz="0" w:space="0" w:color="auto"/>
      </w:divBdr>
    </w:div>
    <w:div w:id="2034377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RDeLeon\AppData\Local\Temp\Plantilla_289715_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E B u s q u e d a A s u n t o   x m l n s = " h t t p : / / s c h e m a s . o p e n x m l f o r m a t s . o r g / A s u n t o A c t u a l " > < C o n s e c u t i v o > 1 7 1 < / C o n s e c u t i v o > < A � o > 2 0 2 1 < / A � o > < T i p o A s u n t o I D > 9 < / T i p o A s u n t o I D > < A s u n t o I D > 2 8 9 7 1 5 < / A s u n t o I D > < E x p e d i e n t e > 1 7 1 / 2 0 2 1 < / E x p e d i e n t e > < T i p o A s u n t o > C O N T R O V E R S I A   C O N S T I T U C I O N A L < / T i p o A s u n t o > < / E B u s q u e d a A s u n t o > 
</file>

<file path=customXml/item2.xml><?xml version="1.0" encoding="utf-8"?>
<p:properties xmlns:p="http://schemas.microsoft.com/office/2006/metadata/properties" xmlns:xsi="http://www.w3.org/2001/XMLSchema-instance" xmlns:pc="http://schemas.microsoft.com/office/infopath/2007/PartnerControls">
  <documentManagement>
    <_dlc_DocId xmlns="72063372-7777-4a65-85ec-aeb5f5d4da7a" xsi:nil="true"/>
    <_dlc_DocIdUrl xmlns="72063372-7777-4a65-85ec-aeb5f5d4da7a">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 t r u e 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2ADB1-4FBD-468B-9B14-B21FCF8D6BAD}">
  <ds:schemaRefs>
    <ds:schemaRef ds:uri="http://schemas.openxmlformats.org/AsuntoActual"/>
  </ds:schemaRefs>
</ds:datastoreItem>
</file>

<file path=customXml/itemProps2.xml><?xml version="1.0" encoding="utf-8"?>
<ds:datastoreItem xmlns:ds="http://schemas.openxmlformats.org/officeDocument/2006/customXml" ds:itemID="{6D339DA3-01EC-4A7E-96B1-AACA25B915B5}">
  <ds:schemaRefs>
    <ds:schemaRef ds:uri="http://schemas.microsoft.com/office/2006/metadata/properties"/>
    <ds:schemaRef ds:uri="http://schemas.microsoft.com/office/infopath/2007/PartnerControls"/>
    <ds:schemaRef ds:uri="72063372-7777-4a65-85ec-aeb5f5d4da7a"/>
  </ds:schemaRefs>
</ds:datastoreItem>
</file>

<file path=customXml/itemProps3.xml><?xml version="1.0" encoding="utf-8"?>
<ds:datastoreItem xmlns:ds="http://schemas.openxmlformats.org/officeDocument/2006/customXml" ds:itemID="{9BBED2CC-858A-4DBE-B0E3-2AD1B3F2B127}">
  <ds:schemaRefs>
    <ds:schemaRef ds:uri="http://schemas.microsoft.com/sharepoint/v3/contenttype/forms"/>
  </ds:schemaRefs>
</ds:datastoreItem>
</file>

<file path=customXml/itemProps4.xml><?xml version="1.0" encoding="utf-8"?>
<ds:datastoreItem xmlns:ds="http://schemas.openxmlformats.org/officeDocument/2006/customXml" ds:itemID="{790C502D-F8E0-470E-8C41-48F9333BF692}">
  <ds:schemaRefs>
    <ds:schemaRef ds:uri="http://schemas.openxmlformats.org/officeDocument/2006/bibliography"/>
  </ds:schemaRefs>
</ds:datastoreItem>
</file>

<file path=customXml/itemProps5.xml><?xml version="1.0" encoding="utf-8"?>
<ds:datastoreItem xmlns:ds="http://schemas.openxmlformats.org/officeDocument/2006/customXml" ds:itemID="{18AC6EB4-473D-451C-8681-9B2BC1AA96A0}">
  <ds:schemaRefs>
    <ds:schemaRef ds:uri="http://schemas.openxmlformats.org/RibbonEstatus"/>
  </ds:schemaRefs>
</ds:datastoreItem>
</file>

<file path=customXml/itemProps6.xml><?xml version="1.0" encoding="utf-8"?>
<ds:datastoreItem xmlns:ds="http://schemas.openxmlformats.org/officeDocument/2006/customXml" ds:itemID="{D015551E-7739-4AC3-90B1-BE1E06CDB90E}">
  <ds:schemaRefs>
    <ds:schemaRef ds:uri="http://schemas.microsoft.com/sharepoint/events"/>
  </ds:schemaRefs>
</ds:datastoreItem>
</file>

<file path=customXml/itemProps7.xml><?xml version="1.0" encoding="utf-8"?>
<ds:datastoreItem xmlns:ds="http://schemas.openxmlformats.org/officeDocument/2006/customXml" ds:itemID="{5A5367E1-03EA-4482-9B2D-C108241FF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Plantilla_289715_3</Template>
  <TotalTime>0</TotalTime>
  <Pages>10</Pages>
  <Words>2137</Words>
  <Characters>11757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De León Del Ángel</dc:creator>
  <cp:keywords/>
  <dc:description/>
  <cp:lastModifiedBy>Liliana Cabrera Moscoso</cp:lastModifiedBy>
  <cp:revision>2</cp:revision>
  <dcterms:created xsi:type="dcterms:W3CDTF">2022-09-27T15:51:00Z</dcterms:created>
  <dcterms:modified xsi:type="dcterms:W3CDTF">2022-09-27T15:51:00Z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06d18dea-0057-42b0-9735-5e77a1554d83</vt:lpwstr>
  </property>
</Properties>
</file>